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November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001-33129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ALLOT LTD.</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 Hanagar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Neve Ne'eman Industrial Zone 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Hod-Hasharon 45240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Israel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w:t>
      </w:r>
    </w:p>
    <w:p>
      <w:pPr>
        <w:spacing w:after="0" w:line="2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92"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ind w:left="4760"/>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6, 2018, Allot Ltd. issued a press release announcing the Third Quarter 2018 Financial Results.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copy of the press release entitled “Allot Announces Third Quarter 2018 Financial Results” is attached to this Form 6-K as Exhibit 99.1.</w:t>
      </w:r>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Allot Communications Ltd.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Alberto Sessa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Alberto Sessa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337" w:right="7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has been filed as part of this Form 6-K:</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94"/>
              </w:rPr>
              <w:t>Exhibit Number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Allot Announces Third Quarter 2018 Financial Results</w:t>
            </w:r>
          </w:p>
        </w:tc>
      </w:tr>
      <w:tr>
        <w:trPr>
          <w:trHeight w:val="439"/>
        </w:trPr>
        <w:tc>
          <w:tcPr>
            <w:tcW w:w="4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3120" w:type="dxa"/>
            <w:vAlign w:val="bottom"/>
            <w:tcBorders>
              <w:top w:val="single" w:sz="8" w:color="0000EE"/>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r>
      <w:tr>
        <w:trPr>
          <w:trHeight w:val="163"/>
        </w:trPr>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spacing w:after="0"/>
              <w:rPr>
                <w:sz w:val="14"/>
                <w:szCs w:val="14"/>
                <w:color w:val="auto"/>
              </w:rPr>
            </w:pPr>
          </w:p>
        </w:tc>
        <w:tc>
          <w:tcPr>
            <w:tcW w:w="604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9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172085</wp:posOffset>
            </wp:positionV>
            <wp:extent cx="107188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88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Allot Announces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Third Quarter 2018 Financial Results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Revenues increased 16% Year over Year with Continued Improvement in Margins</w:t>
      </w:r>
    </w:p>
    <w:p>
      <w:pPr>
        <w:spacing w:after="0" w:line="2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Hod Hasharon, Israel – November 6,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Allot Ltd.</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ALLT, TASE: ALLT), a global provider of leading innovative network intelligence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solutions for service providers worldwide, today announced its third quarter 2018 financial results.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Third Quarter 2018 – Financial Highlights</w:t>
      </w:r>
    </w:p>
    <w:p>
      <w:pPr>
        <w:spacing w:after="0" w:line="28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were $24.2 million, up 16% year-over-year and up 5% sequentially;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gross margin improved to 69.4% up from 62.4% in Q3 2017;</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gross margin improved to 70.7% up from 68.2% in Q3 2017;</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loss narrowed to $2.5 million compared to $4.4 million in Q3 2017;</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loss narrowed to $1.1 million compared to $1.3 million in Q3 2017;</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Book-to-bill below one in Q3 and above one for the nine-months ended September 30, 2018;</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and cash equivalents as of September 30, 2018 totaled $104.7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Outlook</w:t>
      </w:r>
    </w:p>
    <w:p>
      <w:pPr>
        <w:spacing w:after="0" w:line="28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is increasing 2018 revenue expectations to between $93 - $95 million;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2018 Book to Bill ratio is expected at above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w:t>
      </w:r>
    </w:p>
    <w:p>
      <w:pPr>
        <w:spacing w:after="0" w:line="27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Erez Antebi, President &amp; CEO of Allot</w:t>
      </w:r>
      <w:r>
        <w:rPr>
          <w:rFonts w:ascii="Arial" w:cs="Arial" w:eastAsia="Arial" w:hAnsi="Arial"/>
          <w:sz w:val="16"/>
          <w:szCs w:val="16"/>
          <w:color w:val="auto"/>
        </w:rPr>
        <w:t>, commented: “Our strong growth continues, and we are very much on track with our plans. In line with our strategy,</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recently successfully closed a couple of security deals in which we provide products and support and we share in the ongoing revenue with the CSP as the services gain increased traction with end users. I am confident in our direction. As we continue to improve our execution, I am very encouraged to see a growing market acceptance supporting our belief that CSPs have a big opportunity in delivering secure connectivity to the mass market.</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Continued Mr. Antebi: “Our DPI business is showing strength as we continue to win new deals and new accounts. Overall, the value of the new deals we won during the first three quarters of 2018 is approximately double of that which we won during all of 2017. These new customers are creating a strong foundation for sustainable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Q3 2018 Financial Results Summary</w:t>
      </w:r>
    </w:p>
    <w:p>
      <w:pPr>
        <w:spacing w:after="0" w:line="279"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Total revenues </w:t>
      </w:r>
      <w:r>
        <w:rPr>
          <w:rFonts w:ascii="Arial" w:cs="Arial" w:eastAsia="Arial" w:hAnsi="Arial"/>
          <w:sz w:val="16"/>
          <w:szCs w:val="16"/>
          <w:color w:val="auto"/>
        </w:rPr>
        <w:t>for the third quarter of 2018 were $24.2 million, an improvement of 16% compared to $20.9 million in the third quarter of 2017. Revenues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2018, were $69.0 million compared to $58.8 million during the same period in 2017, an increase of 17%.</w:t>
      </w:r>
    </w:p>
    <w:p>
      <w:pPr>
        <w:spacing w:after="0" w:line="1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Gross profit on a GAAP basis </w:t>
      </w:r>
      <w:r>
        <w:rPr>
          <w:rFonts w:ascii="Arial" w:cs="Arial" w:eastAsia="Arial" w:hAnsi="Arial"/>
          <w:sz w:val="18"/>
          <w:szCs w:val="18"/>
          <w:color w:val="auto"/>
        </w:rPr>
        <w:t>for the third quarter of 2018 was $16.8 million (gross margin of 69.4%), a 29% improvement compared with $13.0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(gross margin of 62.4%) in the third quarter of 2017.</w:t>
      </w:r>
    </w:p>
    <w:p>
      <w:pPr>
        <w:spacing w:after="0" w:line="216"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Gross profit on a non-GAAP basis </w:t>
      </w:r>
      <w:r>
        <w:rPr>
          <w:rFonts w:ascii="Arial" w:cs="Arial" w:eastAsia="Arial" w:hAnsi="Arial"/>
          <w:sz w:val="16"/>
          <w:szCs w:val="16"/>
          <w:color w:val="auto"/>
        </w:rPr>
        <w:t>for the third quarter of 2018 was $17.1 million (gross margin of 70.7%), a 20% improvement compared with $14.2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(gross margin of 68.2%) in the third quarter of 2017. The higher level of gross margin was driven by a favorable sales mix delivered in the quarter.</w:t>
      </w:r>
    </w:p>
    <w:p>
      <w:pPr>
        <w:spacing w:after="0" w:line="1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Net loss on a GAAP basis </w:t>
      </w:r>
      <w:r>
        <w:rPr>
          <w:rFonts w:ascii="Arial" w:cs="Arial" w:eastAsia="Arial" w:hAnsi="Arial"/>
          <w:sz w:val="18"/>
          <w:szCs w:val="18"/>
          <w:color w:val="auto"/>
        </w:rPr>
        <w:t>for the third quarter of 2018 was $2.5 million, or $0.07 per basic share, an improvement compared with a net loss of $4.6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or $0.14 per basic share, in the third quarter of 2017.</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Non-GAAP net loss </w:t>
      </w:r>
      <w:r>
        <w:rPr>
          <w:rFonts w:ascii="Arial" w:cs="Arial" w:eastAsia="Arial" w:hAnsi="Arial"/>
          <w:sz w:val="18"/>
          <w:szCs w:val="18"/>
          <w:color w:val="auto"/>
        </w:rPr>
        <w:t>for the third quarter of 2018 was $1.1 million, or $0.03 per basic share, an improvement compared with a non-GAAP net loss of $1.3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$0.04 per basic share, in the third quarter of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as of September 30, 2018 totaled $104.7 million, compared to $105.9 million in June 30, 2018.</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&amp; Webcast</w:t>
      </w:r>
      <w:r>
        <w:rPr>
          <w:rFonts w:ascii="Arial" w:cs="Arial" w:eastAsia="Arial" w:hAnsi="Arial"/>
          <w:sz w:val="18"/>
          <w:szCs w:val="18"/>
          <w:b w:val="1"/>
          <w:bCs w:val="1"/>
          <w:color w:val="auto"/>
        </w:rPr>
        <w:t>:</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Allot management team will host a conference call to discuss third quarter 2018 earnings results today, November 6, 2018 at 8:30 am ET, 3:30 pm Israel time. To access the conference call, please dial one of the following numbers: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US: +1-888-668-9141, UK: +44(0) 800-917-5108, Israel: +972-3-918-0609.</w:t>
      </w:r>
    </w:p>
    <w:p>
      <w:pPr>
        <w:spacing w:after="0" w:line="279" w:lineRule="exact"/>
        <w:rPr>
          <w:sz w:val="20"/>
          <w:szCs w:val="20"/>
          <w:color w:val="auto"/>
        </w:rPr>
      </w:pPr>
    </w:p>
    <w:p>
      <w:pPr>
        <w:spacing w:after="0"/>
        <w:tabs>
          <w:tab w:leader="none" w:pos="260" w:val="left"/>
          <w:tab w:leader="none" w:pos="680" w:val="left"/>
          <w:tab w:leader="none" w:pos="1420" w:val="left"/>
          <w:tab w:leader="none" w:pos="1860" w:val="left"/>
          <w:tab w:leader="none" w:pos="2720" w:val="left"/>
          <w:tab w:leader="none" w:pos="3080" w:val="left"/>
          <w:tab w:leader="none" w:pos="3500" w:val="left"/>
          <w:tab w:leader="none" w:pos="3800" w:val="left"/>
          <w:tab w:leader="none" w:pos="4160" w:val="left"/>
          <w:tab w:leader="none" w:pos="4620" w:val="left"/>
          <w:tab w:leader="none" w:pos="4940" w:val="left"/>
          <w:tab w:leader="none" w:pos="5620" w:val="left"/>
          <w:tab w:leader="none" w:pos="5920" w:val="left"/>
          <w:tab w:leader="none" w:pos="6280" w:val="left"/>
          <w:tab w:leader="none" w:pos="7220" w:val="left"/>
          <w:tab w:leader="none" w:pos="7680" w:val="left"/>
          <w:tab w:leader="none" w:pos="8100" w:val="left"/>
          <w:tab w:leader="none" w:pos="8420" w:val="left"/>
          <w:tab w:leader="none" w:pos="9300" w:val="left"/>
          <w:tab w:leader="none" w:pos="9620" w:val="left"/>
          <w:tab w:leader="none" w:pos="10000" w:val="left"/>
          <w:tab w:leader="none" w:pos="10520" w:val="left"/>
          <w:tab w:leader="none" w:pos="11220" w:val="left"/>
        </w:tabs>
        <w:rPr>
          <w:sz w:val="20"/>
          <w:szCs w:val="20"/>
          <w:color w:val="auto"/>
        </w:rPr>
      </w:pPr>
      <w:r>
        <w:rPr>
          <w:rFonts w:ascii="Arial" w:cs="Arial" w:eastAsia="Arial" w:hAnsi="Arial"/>
          <w:sz w:val="18"/>
          <w:szCs w:val="18"/>
          <w:color w:val="auto"/>
        </w:rPr>
        <w:t>A</w:t>
        <w:tab/>
        <w:t>live</w:t>
        <w:tab/>
        <w:t>webcast</w:t>
        <w:tab/>
        <w:t>and,</w:t>
        <w:tab/>
        <w:t>following</w:t>
        <w:tab/>
        <w:t>the</w:t>
        <w:tab/>
        <w:t>end</w:t>
        <w:tab/>
        <w:t>of</w:t>
        <w:tab/>
        <w:t>the</w:t>
        <w:tab/>
        <w:t>call,</w:t>
        <w:tab/>
        <w:t>an</w:t>
        <w:tab/>
        <w:t>archive</w:t>
        <w:tab/>
        <w:t>of</w:t>
        <w:tab/>
        <w:t>the</w:t>
        <w:tab/>
        <w:t>conference</w:t>
        <w:tab/>
        <w:t>call,</w:t>
        <w:tab/>
        <w:t>will</w:t>
        <w:tab/>
        <w:t>be</w:t>
        <w:tab/>
        <w:t>accessible</w:t>
        <w:tab/>
        <w:t>on</w:t>
        <w:tab/>
        <w:t>the</w:t>
        <w:tab/>
        <w:t>Allot</w:t>
        <w:tab/>
        <w:t>website</w:t>
      </w:r>
      <w:r>
        <w:rPr>
          <w:sz w:val="20"/>
          <w:szCs w:val="20"/>
          <w:color w:val="auto"/>
        </w:rPr>
        <w:tab/>
      </w:r>
      <w:r>
        <w:rPr>
          <w:rFonts w:ascii="Arial" w:cs="Arial" w:eastAsia="Arial" w:hAnsi="Arial"/>
          <w:sz w:val="16"/>
          <w:szCs w:val="16"/>
          <w:color w:val="auto"/>
        </w:rPr>
        <w:t>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http://investors.allot.com/index.cfm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About Allot</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Allot Ltd. (NASDAQ, TASE: ALLT) is a provider of leading innovative network intelligence and security solutions for service providers worldwide, enhancing value to their customers. Our solutions are deployed globally for network and application analytics, traffic control and shaping, network-based security services, and more. Allot’s multi-service platforms are deployed by over 500 mobile, fixed and cloud service providers and over 1000 enterprises. Our industry leading network-based security as a service solution has achieved over 50% penetration with some service providers and is already used by over 20 million subscribers in Europe. Allot. See. Control. Secure. For more information, visit </w:t>
      </w:r>
      <w:r>
        <w:rPr>
          <w:rFonts w:ascii="Arial" w:cs="Arial" w:eastAsia="Arial" w:hAnsi="Arial"/>
          <w:sz w:val="17"/>
          <w:szCs w:val="17"/>
          <w:u w:val="single" w:color="auto"/>
          <w:color w:val="auto"/>
        </w:rPr>
        <w:t>www.allot.com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to Non-GAAP Reconciliation</w:t>
      </w:r>
      <w:r>
        <w:rPr>
          <w:rFonts w:ascii="Arial" w:cs="Arial" w:eastAsia="Arial" w:hAnsi="Arial"/>
          <w:sz w:val="18"/>
          <w:szCs w:val="18"/>
          <w:b w:val="1"/>
          <w:bCs w:val="1"/>
          <w:color w:val="auto"/>
        </w:rPr>
        <w:t>:</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difference between GAAP and non-GAAP revenues is related to the acquisitions made by the Company and represents revenues adjusted for the impact of the fair value adjustment to acquired deferred revenue related to purchase accounting. Non-GAAP net income is defined as GAAP net income after including deferred revenues related to the fair value adjustment resulting from purchase accounting and excluding stock-based compensation expenses, amortization of acquisition-related intangible assets, deferred tax asset adjustment, restructuring expenses, changes in taxes related items and other acquisition-related expenses.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non-GAAP measures should be considered in addition to, and not as a substitute for, comparable GAAP measures. The non-GAAP results and a full reconciliation between GAAP and non-GAAP results is provided in the accompanying Table 2. The Company provides these non-GAAP financial measures because it believes they present a better measure of the Company’s core business and management uses the non-GAAP measures internally to evaluate the Company’s ongoing performance. Accordingly, the Company believes they are useful to investors in enhancing an understanding of the Company’s operating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release contains forward-looking statements, which express the current beliefs and expectations of Company management. Such statements involve a number of known and unknown risks and uncertainties that could cause our future results, performance or achievements to differ significantly from the results, performance or achievements set forth in such forward-looking statements. Important factors that could cause or contribute to such differences include risks relating to: our ability to compete successfully with other companies offering competing technologies; the loss of one or more significant customers; consolidation of, and strategic alliances by, our competitors, government regulation; the timing of completion of key project milestones which impact the timing of our revenue recognition; lower demand for key value-added services; our ability to keep pace with advances in technology and to add new features and value-added services; managing lengthy sales cycles; operational risks associated with large projects; our dependence on third party channel partners for a material portion of our revenues; court approval of the Company’s proposed share buy-back program; and other factors discussed under the heading "Risk Factors" in the Company's annual report on Form 20-F filed with the Securities and Exchange Commission. Forward-looking statements in this release are made pursuant to the safe harbor provisions contained in the Private Securities Litigation Reform Act of 1995. These forward-looking statements are made only as of the date hereof, and the company undertakes no obligation to update or revise the forward-looking statements, whether as a result of new information, future events or otherwise.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 Contact:</w:t>
            </w:r>
          </w:p>
        </w:tc>
        <w:tc>
          <w:tcPr>
            <w:tcW w:w="7500" w:type="dxa"/>
            <w:vAlign w:val="bottom"/>
          </w:tcPr>
          <w:p>
            <w:pPr>
              <w:ind w:left="1800"/>
              <w:spacing w:after="0"/>
              <w:rPr>
                <w:sz w:val="20"/>
                <w:szCs w:val="20"/>
                <w:color w:val="auto"/>
              </w:rPr>
            </w:pPr>
            <w:r>
              <w:rPr>
                <w:rFonts w:ascii="Arial" w:cs="Arial" w:eastAsia="Arial" w:hAnsi="Arial"/>
                <w:sz w:val="18"/>
                <w:szCs w:val="18"/>
                <w:b w:val="1"/>
                <w:bCs w:val="1"/>
                <w:color w:val="auto"/>
              </w:rPr>
              <w:t>Public Relations Contact:</w:t>
            </w:r>
          </w:p>
        </w:tc>
      </w:tr>
      <w:tr>
        <w:trPr>
          <w:trHeight w:val="22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GK Investor Relations</w:t>
            </w:r>
          </w:p>
        </w:tc>
        <w:tc>
          <w:tcPr>
            <w:tcW w:w="7500" w:type="dxa"/>
            <w:vAlign w:val="bottom"/>
          </w:tcPr>
          <w:p>
            <w:pPr>
              <w:ind w:left="1800"/>
              <w:spacing w:after="0"/>
              <w:rPr>
                <w:sz w:val="20"/>
                <w:szCs w:val="20"/>
                <w:color w:val="auto"/>
              </w:rPr>
            </w:pPr>
            <w:r>
              <w:rPr>
                <w:rFonts w:ascii="Arial" w:cs="Arial" w:eastAsia="Arial" w:hAnsi="Arial"/>
                <w:sz w:val="18"/>
                <w:szCs w:val="18"/>
                <w:b w:val="1"/>
                <w:bCs w:val="1"/>
                <w:color w:val="auto"/>
              </w:rPr>
              <w:t>Jodi Joseph Asiag</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Ehud Helft/Gavriel Frohwein</w:t>
            </w:r>
          </w:p>
        </w:tc>
        <w:tc>
          <w:tcPr>
            <w:tcW w:w="7500" w:type="dxa"/>
            <w:vAlign w:val="bottom"/>
          </w:tcPr>
          <w:p>
            <w:pPr>
              <w:ind w:left="1800"/>
              <w:spacing w:after="0"/>
              <w:rPr>
                <w:sz w:val="20"/>
                <w:szCs w:val="20"/>
                <w:color w:val="auto"/>
              </w:rPr>
            </w:pPr>
            <w:r>
              <w:rPr>
                <w:rFonts w:ascii="Arial" w:cs="Arial" w:eastAsia="Arial" w:hAnsi="Arial"/>
                <w:sz w:val="18"/>
                <w:szCs w:val="18"/>
                <w:color w:val="auto"/>
              </w:rPr>
              <w:t>Director of Corporate Communications</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+1 646 688 3559</w:t>
            </w:r>
          </w:p>
        </w:tc>
        <w:tc>
          <w:tcPr>
            <w:tcW w:w="7500" w:type="dxa"/>
            <w:vAlign w:val="bottom"/>
          </w:tcPr>
          <w:p>
            <w:pPr>
              <w:ind w:left="1800"/>
              <w:spacing w:after="0"/>
              <w:rPr>
                <w:sz w:val="20"/>
                <w:szCs w:val="20"/>
                <w:color w:val="auto"/>
              </w:rPr>
            </w:pPr>
            <w:r>
              <w:rPr>
                <w:rFonts w:ascii="Arial" w:cs="Arial" w:eastAsia="Arial" w:hAnsi="Arial"/>
                <w:sz w:val="18"/>
                <w:szCs w:val="18"/>
                <w:color w:val="auto"/>
              </w:rPr>
              <w:t>jasiag@allot.com</w:t>
            </w:r>
          </w:p>
        </w:tc>
      </w:tr>
      <w:tr>
        <w:trPr>
          <w:trHeight w:val="190"/>
        </w:trPr>
        <w:tc>
          <w:tcPr>
            <w:tcW w:w="3920" w:type="dxa"/>
            <w:vAlign w:val="bottom"/>
            <w:gridSpan w:val="2"/>
          </w:tcPr>
          <w:p>
            <w:pPr>
              <w:spacing w:after="0" w:line="190" w:lineRule="exact"/>
              <w:rPr>
                <w:sz w:val="20"/>
                <w:szCs w:val="20"/>
                <w:color w:val="auto"/>
              </w:rPr>
            </w:pPr>
            <w:r>
              <w:rPr>
                <w:rFonts w:ascii="Arial" w:cs="Arial" w:eastAsia="Arial" w:hAnsi="Arial"/>
                <w:sz w:val="18"/>
                <w:szCs w:val="18"/>
                <w:color w:val="auto"/>
              </w:rPr>
              <w:t>allot@gkir.com</w:t>
            </w:r>
          </w:p>
        </w:tc>
        <w:tc>
          <w:tcPr>
            <w:tcW w:w="7500" w:type="dxa"/>
            <w:vAlign w:val="bottom"/>
          </w:tcPr>
          <w:p>
            <w:pPr>
              <w:spacing w:after="0"/>
              <w:rPr>
                <w:sz w:val="16"/>
                <w:szCs w:val="16"/>
                <w:color w:val="auto"/>
              </w:rPr>
            </w:pPr>
          </w:p>
        </w:tc>
      </w:tr>
      <w:tr>
        <w:trPr>
          <w:trHeight w:val="473"/>
        </w:trPr>
        <w:tc>
          <w:tcPr>
            <w:tcW w:w="1120" w:type="dxa"/>
            <w:vAlign w:val="bottom"/>
            <w:tcBorders>
              <w:top w:val="single" w:sz="8" w:color="auto"/>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(U.S. dollars in thousands, except share and per share data)</w:t>
      </w:r>
    </w:p>
    <w:p>
      <w:pPr>
        <w:sectPr>
          <w:pgSz w:w="11900" w:h="16838" w:orient="portrait"/>
          <w:cols w:equalWidth="0" w:num="1">
            <w:col w:w="11420"/>
          </w:cols>
          <w:pgMar w:left="240" w:top="391" w:right="239" w:bottom="1440" w:gutter="0" w:footer="0" w:header="0"/>
        </w:sectPr>
      </w:pPr>
    </w:p>
    <w:p>
      <w:pPr>
        <w:spacing w:after="0" w:line="295" w:lineRule="exact"/>
        <w:rPr>
          <w:sz w:val="20"/>
          <w:szCs w:val="20"/>
          <w:color w:val="auto"/>
        </w:rPr>
      </w:pPr>
    </w:p>
    <w:p>
      <w:pPr>
        <w:jc w:val="center"/>
        <w:ind w:left="62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5715</wp:posOffset>
            </wp:positionV>
            <wp:extent cx="15779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tabs>
          <w:tab w:leader="none" w:pos="13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200"/>
          </w:cols>
          <w:pgMar w:left="240" w:top="391" w:right="239" w:bottom="144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24,217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68,952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7,840</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21,053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13,017</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Research and development costs,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5,202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18,786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2,449</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7,800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17,430</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(4,413)</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(8,782)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Financial and other income,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Loss before income tax expenses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(4,331)</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(7,175)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Tax expenses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net loss per share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loss per share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number of shares used in computing basic net loss per share</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33,761,279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33,303,744</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33,658,485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33,199,633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 average number of shares used in computing diluted net loss per share</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33,761,279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33,303,744</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33,658,485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33,199,633</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9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RECONCILATION OF GAAP TO NON-GAAP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ectPr>
          <w:pgSz w:w="11900" w:h="16838" w:orient="portrait"/>
          <w:cols w:equalWidth="0" w:num="1">
            <w:col w:w="11420"/>
          </w:cols>
          <w:pgMar w:left="240" w:top="121" w:right="239" w:bottom="643" w:gutter="0" w:footer="0" w:header="0"/>
        </w:sectPr>
      </w:pPr>
    </w:p>
    <w:p>
      <w:pPr>
        <w:spacing w:after="0" w:line="261" w:lineRule="exact"/>
        <w:rPr>
          <w:sz w:val="20"/>
          <w:szCs w:val="20"/>
          <w:color w:val="auto"/>
        </w:rPr>
      </w:pPr>
    </w:p>
    <w:p>
      <w:pPr>
        <w:jc w:val="center"/>
        <w:ind w:left="62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5715</wp:posOffset>
            </wp:positionV>
            <wp:extent cx="15779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tabs>
          <w:tab w:leader="none" w:pos="13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200"/>
          </w:cols>
          <w:pgMar w:left="240" w:top="121" w:right="239" w:bottom="643"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Revenues</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24,217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68,952</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Fair value adjustment for acquired deferred revenues write down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Revenues</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20,857</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21,053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Share-based compensation (1)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Restructuring expenses (4)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cost of revenues</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gross profit</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47,899</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Gross profit adjustments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1,206</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gross profit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operating expenses</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19,330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56,681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Share-based compensation (1)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expenses (4)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Changes in tax related items (5)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operating expenses</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18,175</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financial and other income</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1,607</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Financial and other income</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taxes on income</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Tax expenses (in respect of net deferred tax asset recorded)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taxes on income</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80" w:type="dxa"/>
            <w:vAlign w:val="bottom"/>
            <w:gridSpan w:val="3"/>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Net Loss</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(2,495)</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(8,599)</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Share-based compensation (1)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expenses (4)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Changes in tax related items (5)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for acquired deferred revenues write down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Tax expenses (in respect of net deferred tax asset recorded)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Loss</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80" w:type="dxa"/>
            <w:vAlign w:val="bottom"/>
            <w:gridSpan w:val="3"/>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Loss per share (diluted)</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Expenses related to M&amp;A activities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Changes in taxes related items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for acquired deferred revenues write down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Tax expenses (in respect of net deferred tax asset recorded)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Loss per share (diluted)</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number of shares used in computing GAAP diluted net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33,761,279</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33,303,744</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33,658,485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33,199,633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number of shares used in computing non-GAAP diluted net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33,761,279</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33,303,744</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33,658,485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33,199,633</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8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643"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TABLE - 2 cont.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RECONCILATION OF GAAP TO NON-GAAP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ectPr>
          <w:pgSz w:w="11900" w:h="16838" w:orient="portrait"/>
          <w:cols w:equalWidth="0" w:num="1">
            <w:col w:w="11420"/>
          </w:cols>
          <w:pgMar w:left="240" w:top="391" w:right="239" w:bottom="1440" w:gutter="0" w:footer="0" w:header="0"/>
        </w:sectPr>
      </w:pPr>
    </w:p>
    <w:p>
      <w:pPr>
        <w:spacing w:after="0" w:line="261" w:lineRule="exact"/>
        <w:rPr>
          <w:sz w:val="20"/>
          <w:szCs w:val="20"/>
          <w:color w:val="auto"/>
        </w:rPr>
      </w:pPr>
    </w:p>
    <w:p>
      <w:pPr>
        <w:jc w:val="center"/>
        <w:ind w:left="62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5715</wp:posOffset>
            </wp:positionV>
            <wp:extent cx="15779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tabs>
          <w:tab w:leader="none" w:pos="13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200"/>
          </w:cols>
          <w:pgMar w:left="240" w:top="391" w:right="239" w:bottom="144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(1) Share-based compensation (*):</w:t>
            </w: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color w:val="auto"/>
              </w:rPr>
              <w:t>Cost of revenues</w:t>
            </w:r>
          </w:p>
        </w:tc>
        <w:tc>
          <w:tcPr>
            <w:tcW w:w="19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r>
      <w:tr>
        <w:trPr>
          <w:trHeight w:val="216"/>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 costs, net</w:t>
            </w: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r>
      <w:tr>
        <w:trPr>
          <w:trHeight w:val="216"/>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r>
      <w:tr>
        <w:trPr>
          <w:trHeight w:val="27"/>
        </w:trPr>
        <w:tc>
          <w:tcPr>
            <w:tcW w:w="4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19"/>
                <w:szCs w:val="19"/>
                <w:color w:val="auto"/>
              </w:rPr>
            </w:pPr>
          </w:p>
        </w:tc>
        <w:tc>
          <w:tcPr>
            <w:tcW w:w="19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9"/>
                <w:szCs w:val="19"/>
                <w:color w:val="auto"/>
              </w:rPr>
            </w:pP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2,168</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2,386</w:t>
            </w:r>
          </w:p>
        </w:tc>
      </w:tr>
      <w:tr>
        <w:trPr>
          <w:trHeight w:val="216"/>
        </w:trPr>
        <w:tc>
          <w:tcPr>
            <w:tcW w:w="4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60"/>
              <w:spacing w:after="0"/>
              <w:rPr>
                <w:sz w:val="20"/>
                <w:szCs w:val="20"/>
                <w:color w:val="auto"/>
              </w:rPr>
            </w:pPr>
            <w:r>
              <w:rPr>
                <w:rFonts w:ascii="Arial" w:cs="Arial" w:eastAsia="Arial" w:hAnsi="Arial"/>
                <w:sz w:val="18"/>
                <w:szCs w:val="18"/>
                <w:color w:val="auto"/>
              </w:rPr>
              <w:t>(2) Amortization of intangible assets</w:t>
            </w: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Cost of revenues</w:t>
            </w:r>
          </w:p>
        </w:tc>
        <w:tc>
          <w:tcPr>
            <w:tcW w:w="194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4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r>
      <w:tr>
        <w:trPr>
          <w:trHeight w:val="223"/>
        </w:trPr>
        <w:tc>
          <w:tcPr>
            <w:tcW w:w="46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r>
      <w:tr>
        <w:trPr>
          <w:trHeight w:val="223"/>
        </w:trPr>
        <w:tc>
          <w:tcPr>
            <w:tcW w:w="46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(3) Expenses related to M&amp;A activities</w:t>
            </w: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9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 costs, net</w:t>
            </w: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ind w:left="500"/>
              <w:spacing w:after="0"/>
              <w:rPr>
                <w:sz w:val="20"/>
                <w:szCs w:val="20"/>
                <w:color w:val="auto"/>
              </w:rPr>
            </w:pPr>
            <w:r>
              <w:rPr>
                <w:rFonts w:ascii="Arial" w:cs="Arial" w:eastAsia="Arial" w:hAnsi="Arial"/>
                <w:sz w:val="18"/>
                <w:szCs w:val="18"/>
                <w:color w:val="auto"/>
              </w:rPr>
              <w:t>Financial expenses (income)</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r>
      <w:tr>
        <w:trPr>
          <w:trHeight w:val="223"/>
        </w:trPr>
        <w:tc>
          <w:tcPr>
            <w:tcW w:w="46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(4) Restructuring expenses</w:t>
            </w: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color w:val="auto"/>
              </w:rPr>
              <w:t>Cost of revenues</w:t>
            </w:r>
          </w:p>
        </w:tc>
        <w:tc>
          <w:tcPr>
            <w:tcW w:w="19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887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r>
      <w:tr>
        <w:trPr>
          <w:trHeight w:val="216"/>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 costs, net</w:t>
            </w: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976</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r>
      <w:tr>
        <w:trPr>
          <w:trHeight w:val="216"/>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7"/>
        </w:trPr>
        <w:tc>
          <w:tcPr>
            <w:tcW w:w="4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19"/>
                <w:szCs w:val="19"/>
                <w:color w:val="auto"/>
              </w:rPr>
            </w:pPr>
          </w:p>
        </w:tc>
        <w:tc>
          <w:tcPr>
            <w:tcW w:w="19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2,151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2,151</w:t>
            </w:r>
          </w:p>
        </w:tc>
      </w:tr>
      <w:tr>
        <w:trPr>
          <w:trHeight w:val="216"/>
        </w:trPr>
        <w:tc>
          <w:tcPr>
            <w:tcW w:w="4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60"/>
              <w:spacing w:after="0"/>
              <w:rPr>
                <w:sz w:val="20"/>
                <w:szCs w:val="20"/>
                <w:color w:val="auto"/>
              </w:rPr>
            </w:pPr>
            <w:r>
              <w:rPr>
                <w:rFonts w:ascii="Arial" w:cs="Arial" w:eastAsia="Arial" w:hAnsi="Arial"/>
                <w:sz w:val="18"/>
                <w:szCs w:val="18"/>
                <w:color w:val="auto"/>
              </w:rPr>
              <w:t>(5) Changes in tax related items</w:t>
            </w: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94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4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Excluding share-based compensation related to the restructuring plan, which was already included under restructuring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TABLE - 3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center"/>
              <w:ind w:right="395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Short term deposits</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24,443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deposit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63,835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receivables and prepaid expenses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146,879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long-term assets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191,424</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center"/>
              <w:ind w:right="395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12,276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Liability related to settlement of OCS grants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43,903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191,424</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184,525</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8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TABLE - 4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50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(2,495)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w w:val="92"/>
              </w:rPr>
              <w:t>Adjustments to reconcile net income to net cash provided by operating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Stock-based compensation related to options granted to employees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Capital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accrued severance pay,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 other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Decease in accrued interest and amortization of premium on marketable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trade receivables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(3,715)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other receivables and prepaid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inventories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(4,055)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long-term deferred taxes,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trade payables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5,826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6,315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in deferred revenues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other payables and accrued expenses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restricted deposit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Redemption of (Investment in) short-term 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Investment in marketable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(25,193)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redemption or sale of marketable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Exercise of employee stock options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20,371</w:t>
            </w:r>
          </w:p>
        </w:tc>
        <w:tc>
          <w:tcPr>
            <w:tcW w:w="1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15,724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15,724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6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2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2019-12-07T04:29:52Z</dcterms:created>
  <dcterms:modified xsi:type="dcterms:W3CDTF">2019-12-07T04:29:52Z</dcterms:modified>
</cp:coreProperties>
</file>