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spacing w:after="0" w:line="1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6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Form 6-K</w:t>
      </w:r>
    </w:p>
    <w:p>
      <w:pPr>
        <w:spacing w:after="0" w:line="28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FOREIGN PRIVATE ISSUER PURSUANT TO RULE 13A-16 OR 15D-16</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 the month of May 2019</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Commission File Number: 001-33129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ALLOT LTD.</w:t>
      </w:r>
    </w:p>
    <w:p>
      <w:pPr>
        <w:spacing w:after="0" w:line="38"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(Translation of registrant’s name into English)</w:t>
      </w:r>
    </w:p>
    <w:p>
      <w:pPr>
        <w:spacing w:after="0" w:line="25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22 Hanagar Street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Neve Ne'eman Industrial Zone B</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Hod-Hasharon 45240</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Israel</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w:t>
      </w:r>
    </w:p>
    <w:p>
      <w:pPr>
        <w:spacing w:after="0" w:line="26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193" w:lineRule="exact"/>
        <w:rPr>
          <w:sz w:val="24"/>
          <w:szCs w:val="24"/>
          <w:color w:val="auto"/>
        </w:rPr>
      </w:pPr>
    </w:p>
    <w:p>
      <w:pPr>
        <w:jc w:val="center"/>
        <w:spacing w:after="0" w:line="207" w:lineRule="exact"/>
        <w:tabs>
          <w:tab w:leader="none" w:pos="44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312"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101(b)(1): ___</w:t>
      </w:r>
    </w:p>
    <w:p>
      <w:pPr>
        <w:spacing w:after="0" w:line="279"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101(b)(7): ___</w:t>
      </w:r>
    </w:p>
    <w:p>
      <w:pPr>
        <w:spacing w:after="0" w:line="27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by furnishing the information contained in this Form, the registrant is also thereby furnishing the information to the Commission pursuant to Rule 12g3-2(b) under the Securities Exchange Act of 1934.</w:t>
      </w:r>
    </w:p>
    <w:p>
      <w:pPr>
        <w:spacing w:after="0" w:line="192" w:lineRule="exact"/>
        <w:rPr>
          <w:sz w:val="24"/>
          <w:szCs w:val="24"/>
          <w:color w:val="auto"/>
        </w:rPr>
      </w:pPr>
    </w:p>
    <w:p>
      <w:pPr>
        <w:jc w:val="center"/>
        <w:spacing w:after="0" w:line="207" w:lineRule="exact"/>
        <w:tabs>
          <w:tab w:leader="none" w:pos="44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312" w:lineRule="exact"/>
        <w:rPr>
          <w:sz w:val="24"/>
          <w:szCs w:val="24"/>
          <w:color w:val="auto"/>
        </w:rPr>
      </w:pPr>
    </w:p>
    <w:p>
      <w:pPr>
        <w:spacing w:after="0"/>
        <w:rPr>
          <w:sz w:val="20"/>
          <w:szCs w:val="20"/>
          <w:color w:val="auto"/>
        </w:rPr>
      </w:pPr>
      <w:r>
        <w:rPr>
          <w:rFonts w:ascii="Arial" w:cs="Arial" w:eastAsia="Arial" w:hAnsi="Arial"/>
          <w:sz w:val="18"/>
          <w:szCs w:val="18"/>
          <w:color w:val="auto"/>
        </w:rPr>
        <w:t>If "Yes" is marked, indicate below the file number assigned to the registrant in connection with Rule 12g3-2(b): 82- 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87" w:right="239" w:bottom="1440" w:gutter="0" w:footer="0" w:header="0"/>
        </w:sectPr>
      </w:pPr>
    </w:p>
    <w:bookmarkStart w:id="1" w:name="page2"/>
    <w:bookmarkEnd w:id="1"/>
    <w:p>
      <w:pPr>
        <w:ind w:left="4760"/>
        <w:spacing w:after="0"/>
        <w:rPr>
          <w:sz w:val="20"/>
          <w:szCs w:val="20"/>
          <w:color w:val="auto"/>
        </w:rPr>
      </w:pPr>
      <w:r>
        <w:rPr>
          <w:rFonts w:ascii="Arial" w:cs="Arial" w:eastAsia="Arial" w:hAnsi="Arial"/>
          <w:sz w:val="18"/>
          <w:szCs w:val="18"/>
          <w:b w:val="1"/>
          <w:bCs w:val="1"/>
          <w:color w:val="auto"/>
        </w:rPr>
        <w:t>EXPLANATORY NOTE</w:t>
      </w:r>
    </w:p>
    <w:p>
      <w:pPr>
        <w:spacing w:after="0" w:line="2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May 14</w:t>
      </w:r>
      <w:r>
        <w:rPr>
          <w:rFonts w:ascii="Arial" w:cs="Arial" w:eastAsia="Arial" w:hAnsi="Arial"/>
          <w:sz w:val="30"/>
          <w:szCs w:val="30"/>
          <w:color w:val="auto"/>
          <w:vertAlign w:val="superscript"/>
        </w:rPr>
        <w:t>th</w:t>
      </w:r>
      <w:r>
        <w:rPr>
          <w:rFonts w:ascii="Arial" w:cs="Arial" w:eastAsia="Arial" w:hAnsi="Arial"/>
          <w:sz w:val="18"/>
          <w:szCs w:val="18"/>
          <w:color w:val="auto"/>
        </w:rPr>
        <w:t>, 2019, Allot Ltd. issued a press release announcing the First Quarter 2019 Financial Results.</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 copy of the press release entitled “Allot Announces First Quarter 2019 Financial Results” is attached to this Form 6-K as Exhibit 99.1.</w:t>
      </w:r>
    </w:p>
    <w:p>
      <w:pPr>
        <w:spacing w:after="0" w:line="287"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283"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Allot Ltd.</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Alberto Sessa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3797935</wp:posOffset>
            </wp:positionH>
            <wp:positionV relativeFrom="paragraph">
              <wp:posOffset>-10160</wp:posOffset>
            </wp:positionV>
            <wp:extent cx="7969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9692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Alberto Sessa</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Financial Officer</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Date: May 14</w:t>
      </w:r>
      <w:r>
        <w:rPr>
          <w:rFonts w:ascii="Arial" w:cs="Arial" w:eastAsia="Arial" w:hAnsi="Arial"/>
          <w:sz w:val="30"/>
          <w:szCs w:val="30"/>
          <w:color w:val="auto"/>
          <w:vertAlign w:val="superscript"/>
        </w:rPr>
        <w:t>th</w:t>
      </w:r>
      <w:r>
        <w:rPr>
          <w:rFonts w:ascii="Arial" w:cs="Arial" w:eastAsia="Arial" w:hAnsi="Arial"/>
          <w:sz w:val="18"/>
          <w:szCs w:val="18"/>
          <w:color w:val="auto"/>
        </w:rPr>
        <w:t>,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387985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940"/>
          </w:cols>
          <w:pgMar w:left="240" w:top="121" w:right="71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EXHIBIT INDEX</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 has been filed as part of this Form 6-K:</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4"/>
              </w:rPr>
              <w:t>Exhibit Number</w:t>
            </w:r>
          </w:p>
        </w:tc>
        <w:tc>
          <w:tcPr>
            <w:tcW w:w="620" w:type="dxa"/>
            <w:vAlign w:val="bottom"/>
          </w:tcPr>
          <w:p>
            <w:pPr>
              <w:spacing w:after="0"/>
              <w:rPr>
                <w:sz w:val="17"/>
                <w:szCs w:val="17"/>
                <w:color w:val="auto"/>
              </w:rPr>
            </w:pPr>
          </w:p>
        </w:tc>
        <w:tc>
          <w:tcPr>
            <w:tcW w:w="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1"/>
              </w:rPr>
              <w:t>Description</w:t>
            </w:r>
          </w:p>
        </w:tc>
        <w:tc>
          <w:tcPr>
            <w:tcW w:w="8780" w:type="dxa"/>
            <w:vAlign w:val="bottom"/>
            <w:gridSpan w:val="2"/>
          </w:tcPr>
          <w:p>
            <w:pPr>
              <w:spacing w:after="0"/>
              <w:rPr>
                <w:sz w:val="17"/>
                <w:szCs w:val="17"/>
                <w:color w:val="auto"/>
              </w:rPr>
            </w:pPr>
          </w:p>
        </w:tc>
      </w:tr>
      <w:tr>
        <w:trPr>
          <w:trHeight w:val="466"/>
        </w:trPr>
        <w:tc>
          <w:tcPr>
            <w:tcW w:w="1180" w:type="dxa"/>
            <w:vAlign w:val="bottom"/>
            <w:gridSpan w:val="2"/>
          </w:tcPr>
          <w:p>
            <w:pPr>
              <w:spacing w:after="0"/>
              <w:rPr>
                <w:sz w:val="20"/>
                <w:szCs w:val="20"/>
                <w:color w:val="auto"/>
              </w:rPr>
            </w:pPr>
            <w:r>
              <w:rPr>
                <w:rFonts w:ascii="Arial" w:cs="Arial" w:eastAsia="Arial" w:hAnsi="Arial"/>
                <w:sz w:val="18"/>
                <w:szCs w:val="18"/>
                <w:color w:val="0000EE"/>
              </w:rPr>
              <w:t>99.</w:t>
            </w:r>
            <w:r>
              <w:rPr>
                <w:rFonts w:ascii="Arial" w:cs="Arial" w:eastAsia="Arial" w:hAnsi="Arial"/>
                <w:sz w:val="18"/>
                <w:szCs w:val="18"/>
                <w:u w:val="single" w:color="auto"/>
                <w:color w:val="0000EE"/>
              </w:rPr>
              <w:t>1</w:t>
            </w:r>
          </w:p>
        </w:tc>
        <w:tc>
          <w:tcPr>
            <w:tcW w:w="620" w:type="dxa"/>
            <w:vAlign w:val="bottom"/>
          </w:tcPr>
          <w:p>
            <w:pPr>
              <w:spacing w:after="0"/>
              <w:rPr>
                <w:sz w:val="24"/>
                <w:szCs w:val="24"/>
                <w:color w:val="auto"/>
              </w:rPr>
            </w:pPr>
          </w:p>
        </w:tc>
        <w:tc>
          <w:tcPr>
            <w:tcW w:w="9620" w:type="dxa"/>
            <w:vAlign w:val="bottom"/>
            <w:gridSpan w:val="3"/>
          </w:tcPr>
          <w:p>
            <w:pPr>
              <w:spacing w:after="0"/>
              <w:rPr>
                <w:sz w:val="20"/>
                <w:szCs w:val="20"/>
                <w:color w:val="auto"/>
              </w:rPr>
            </w:pPr>
            <w:r>
              <w:rPr>
                <w:rFonts w:ascii="Arial" w:cs="Arial" w:eastAsia="Arial" w:hAnsi="Arial"/>
                <w:sz w:val="18"/>
                <w:szCs w:val="18"/>
                <w:color w:val="0000EE"/>
              </w:rPr>
              <w:t>Allot Announces First Quarter 2019 Financial Results</w:t>
            </w:r>
          </w:p>
        </w:tc>
      </w:tr>
      <w:tr>
        <w:trPr>
          <w:trHeight w:val="399"/>
        </w:trPr>
        <w:tc>
          <w:tcPr>
            <w:tcW w:w="320" w:type="dxa"/>
            <w:vAlign w:val="bottom"/>
            <w:tcBorders>
              <w:top w:val="single" w:sz="8" w:color="0000EE"/>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840" w:type="dxa"/>
            <w:vAlign w:val="bottom"/>
            <w:tcBorders>
              <w:top w:val="single" w:sz="8" w:color="0000EE"/>
              <w:bottom w:val="single" w:sz="8" w:color="auto"/>
            </w:tcBorders>
          </w:tcPr>
          <w:p>
            <w:pPr>
              <w:spacing w:after="0"/>
              <w:rPr>
                <w:sz w:val="24"/>
                <w:szCs w:val="24"/>
                <w:color w:val="auto"/>
              </w:rPr>
            </w:pPr>
          </w:p>
        </w:tc>
        <w:tc>
          <w:tcPr>
            <w:tcW w:w="3040" w:type="dxa"/>
            <w:vAlign w:val="bottom"/>
            <w:tcBorders>
              <w:top w:val="single" w:sz="8" w:color="0000EE"/>
              <w:bottom w:val="single" w:sz="8" w:color="auto"/>
            </w:tcBorders>
          </w:tcPr>
          <w:p>
            <w:pPr>
              <w:spacing w:after="0"/>
              <w:rPr>
                <w:sz w:val="24"/>
                <w:szCs w:val="24"/>
                <w:color w:val="auto"/>
              </w:rPr>
            </w:pPr>
          </w:p>
        </w:tc>
        <w:tc>
          <w:tcPr>
            <w:tcW w:w="5740" w:type="dxa"/>
            <w:vAlign w:val="bottom"/>
            <w:tcBorders>
              <w:bottom w:val="single" w:sz="8" w:color="auto"/>
            </w:tcBorders>
          </w:tcPr>
          <w:p>
            <w:pPr>
              <w:spacing w:after="0"/>
              <w:rPr>
                <w:sz w:val="24"/>
                <w:szCs w:val="24"/>
                <w:color w:val="auto"/>
              </w:rPr>
            </w:pPr>
          </w:p>
        </w:tc>
      </w:tr>
      <w:tr>
        <w:trPr>
          <w:trHeight w:val="163"/>
        </w:trPr>
        <w:tc>
          <w:tcPr>
            <w:tcW w:w="3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3040" w:type="dxa"/>
            <w:vAlign w:val="bottom"/>
            <w:tcBorders>
              <w:bottom w:val="single" w:sz="8" w:color="auto"/>
            </w:tcBorders>
          </w:tcPr>
          <w:p>
            <w:pPr>
              <w:spacing w:after="0"/>
              <w:rPr>
                <w:sz w:val="14"/>
                <w:szCs w:val="14"/>
                <w:color w:val="auto"/>
              </w:rPr>
            </w:pPr>
          </w:p>
        </w:tc>
        <w:tc>
          <w:tcPr>
            <w:tcW w:w="5740" w:type="dxa"/>
            <w:vAlign w:val="bottom"/>
            <w:tcBorders>
              <w:bottom w:val="single" w:sz="8" w:color="auto"/>
            </w:tcBorders>
          </w:tcPr>
          <w:p>
            <w:pPr>
              <w:spacing w:after="0"/>
              <w:rPr>
                <w:sz w:val="14"/>
                <w:szCs w:val="14"/>
                <w:color w:val="auto"/>
              </w:rPr>
            </w:pPr>
          </w:p>
        </w:tc>
      </w:tr>
    </w:tbl>
    <w:p>
      <w:pPr>
        <w:sectPr>
          <w:pgSz w:w="11900" w:h="16838" w:orient="portrait"/>
          <w:cols w:equalWidth="0" w:num="1">
            <w:col w:w="11420"/>
          </w:cols>
          <w:pgMar w:left="240" w:top="121"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6179820</wp:posOffset>
            </wp:positionH>
            <wp:positionV relativeFrom="paragraph">
              <wp:posOffset>343535</wp:posOffset>
            </wp:positionV>
            <wp:extent cx="1071880" cy="6089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71880" cy="608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Allot Announces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First Quarter 2019 Financial Results</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17% Year-Over-Year Growth in Revenue and improvement in profitability parameters</w:t>
      </w:r>
    </w:p>
    <w:p>
      <w:pPr>
        <w:spacing w:after="0" w:line="275"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Hod Hasharon, Israel – May 14, 2019 </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Allot Ltd.</w:t>
      </w:r>
      <w:r>
        <w:rPr>
          <w:rFonts w:ascii="Arial" w:cs="Arial" w:eastAsia="Arial" w:hAnsi="Arial"/>
          <w:sz w:val="18"/>
          <w:szCs w:val="18"/>
          <w:b w:val="1"/>
          <w:bCs w:val="1"/>
          <w:color w:val="auto"/>
        </w:rPr>
        <w:t xml:space="preserve"> </w:t>
      </w:r>
      <w:r>
        <w:rPr>
          <w:rFonts w:ascii="Arial" w:cs="Arial" w:eastAsia="Arial" w:hAnsi="Arial"/>
          <w:sz w:val="18"/>
          <w:szCs w:val="18"/>
          <w:color w:val="auto"/>
        </w:rPr>
        <w:t>(NASDAQ: ALLT, TASE: ALLT), a global provider of leading innovative network intelligence and</w:t>
      </w:r>
      <w:r>
        <w:rPr>
          <w:rFonts w:ascii="Arial" w:cs="Arial" w:eastAsia="Arial" w:hAnsi="Arial"/>
          <w:sz w:val="18"/>
          <w:szCs w:val="18"/>
          <w:b w:val="1"/>
          <w:bCs w:val="1"/>
          <w:color w:val="auto"/>
        </w:rPr>
        <w:t xml:space="preserve"> </w:t>
      </w:r>
      <w:r>
        <w:rPr>
          <w:rFonts w:ascii="Arial" w:cs="Arial" w:eastAsia="Arial" w:hAnsi="Arial"/>
          <w:sz w:val="18"/>
          <w:szCs w:val="18"/>
          <w:color w:val="auto"/>
        </w:rPr>
        <w:t>security solutions for service providers worldwide, today announced its first quarter 2019 financial results.</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First Quarter 2019 – Financial Highlights</w:t>
      </w:r>
    </w:p>
    <w:p>
      <w:pPr>
        <w:spacing w:after="0" w:line="283" w:lineRule="exact"/>
        <w:rPr>
          <w:sz w:val="20"/>
          <w:szCs w:val="20"/>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Revenues were $25.3 million, up 17% year-over-year;</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7"/>
          <w:szCs w:val="17"/>
          <w:color w:val="auto"/>
        </w:rPr>
      </w:pPr>
      <w:r>
        <w:rPr>
          <w:rFonts w:ascii="Arial" w:cs="Arial" w:eastAsia="Arial" w:hAnsi="Arial"/>
          <w:sz w:val="17"/>
          <w:szCs w:val="17"/>
          <w:color w:val="auto"/>
        </w:rPr>
        <w:t>GAAP gross margin improved to 71.2% up from 68.1% in Q1 2018; Non-GAAP gross margin improved to 72.4% up from 69.6% in Q1 2018;</w:t>
      </w:r>
    </w:p>
    <w:p>
      <w:pPr>
        <w:spacing w:after="0" w:line="290"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GAAP operating loss narrowed to $3.3 million compared to $3.5 million in Q1 2018; Non-GAAP operating loss narrowed to $1.8 million compared to $2.3 million in Q1 2018;</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Outlook</w:t>
      </w:r>
    </w:p>
    <w:p>
      <w:pPr>
        <w:spacing w:after="0" w:line="283"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Management maintains its 2019 expectations of revenues between $106-110 million, representing continued double-digit year-over-year growth;</w:t>
      </w:r>
    </w:p>
    <w:p>
      <w:pPr>
        <w:spacing w:after="0" w:line="302" w:lineRule="exact"/>
        <w:rPr>
          <w:rFonts w:ascii="Arial" w:cs="Arial" w:eastAsia="Arial" w:hAnsi="Arial"/>
          <w:sz w:val="16"/>
          <w:szCs w:val="16"/>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Continue to expect full year 2019 book to bill ratio at above 1;</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Management goal to sign security OPEX deals with an aggregate MAR (Maximum Annual Revenue) of $100M during 2019, remains unchanged.</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Management Comment</w:t>
      </w:r>
    </w:p>
    <w:p>
      <w:pPr>
        <w:spacing w:after="0" w:line="279"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Erez Antebi, President &amp; CEO of Allot</w:t>
      </w:r>
      <w:r>
        <w:rPr>
          <w:rFonts w:ascii="Arial" w:cs="Arial" w:eastAsia="Arial" w:hAnsi="Arial"/>
          <w:sz w:val="18"/>
          <w:szCs w:val="18"/>
          <w:color w:val="auto"/>
        </w:rPr>
        <w:t>, commented: “We are pleased with the continued strong year-over-year growth in revenue as well as the</w:t>
      </w:r>
      <w:r>
        <w:rPr>
          <w:rFonts w:ascii="Arial" w:cs="Arial" w:eastAsia="Arial" w:hAnsi="Arial"/>
          <w:sz w:val="18"/>
          <w:szCs w:val="18"/>
          <w:b w:val="1"/>
          <w:bCs w:val="1"/>
          <w:color w:val="auto"/>
        </w:rPr>
        <w:t xml:space="preserve"> </w:t>
      </w:r>
      <w:r>
        <w:rPr>
          <w:rFonts w:ascii="Arial" w:cs="Arial" w:eastAsia="Arial" w:hAnsi="Arial"/>
          <w:sz w:val="18"/>
          <w:szCs w:val="18"/>
          <w:color w:val="auto"/>
        </w:rPr>
        <w:t>improvement in profitability parameters in the quarter, and we are on target with our longer-term goals. Our momentum in the quarter remained positive and includes the win of a contract to provide a full suite of solutions comprising of network-based traffic management and network security solutions to Rakuten Mobile in Japan. Our pipeline of potential security OPEX deals remains strong and we are actively working to close further deals. We look forward to continued and sustainable growth in 2019 and beyond.”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48" w:right="239" w:bottom="1440" w:gutter="0" w:footer="0" w:header="0"/>
        </w:sectPr>
      </w:pPr>
    </w:p>
    <w:bookmarkStart w:id="4" w:name="page5"/>
    <w:bookmarkEnd w:id="4"/>
    <w:p>
      <w:pPr>
        <w:ind w:left="60"/>
        <w:spacing w:after="0"/>
        <w:rPr>
          <w:sz w:val="20"/>
          <w:szCs w:val="20"/>
          <w:color w:val="auto"/>
        </w:rPr>
      </w:pPr>
      <w:r>
        <w:rPr>
          <w:rFonts w:ascii="Arial" w:cs="Arial" w:eastAsia="Arial" w:hAnsi="Arial"/>
          <w:sz w:val="18"/>
          <w:szCs w:val="18"/>
          <w:b w:val="1"/>
          <w:bCs w:val="1"/>
          <w:u w:val="single" w:color="auto"/>
          <w:color w:val="auto"/>
        </w:rPr>
        <w:t>Q1 2019 Financial Results Summary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Total revenues </w:t>
      </w:r>
      <w:r>
        <w:rPr>
          <w:rFonts w:ascii="Arial" w:cs="Arial" w:eastAsia="Arial" w:hAnsi="Arial"/>
          <w:sz w:val="18"/>
          <w:szCs w:val="18"/>
          <w:color w:val="auto"/>
        </w:rPr>
        <w:t>for the quarter were $25.3 million, up 17% compared to $21.7 million in the first quarter of 2018.</w:t>
      </w:r>
    </w:p>
    <w:p>
      <w:pPr>
        <w:spacing w:after="0" w:line="27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Gross profit on a GAAP basis </w:t>
      </w:r>
      <w:r>
        <w:rPr>
          <w:rFonts w:ascii="Arial" w:cs="Arial" w:eastAsia="Arial" w:hAnsi="Arial"/>
          <w:sz w:val="18"/>
          <w:szCs w:val="18"/>
          <w:color w:val="auto"/>
        </w:rPr>
        <w:t>for the quarter was $18.0 million (gross margin of 71.2%), a 22% improvement compared with $14.8 million (gross margin of</w:t>
      </w:r>
      <w:r>
        <w:rPr>
          <w:rFonts w:ascii="Arial" w:cs="Arial" w:eastAsia="Arial" w:hAnsi="Arial"/>
          <w:sz w:val="18"/>
          <w:szCs w:val="18"/>
          <w:b w:val="1"/>
          <w:bCs w:val="1"/>
          <w:color w:val="auto"/>
        </w:rPr>
        <w:t xml:space="preserve"> </w:t>
      </w:r>
      <w:r>
        <w:rPr>
          <w:rFonts w:ascii="Arial" w:cs="Arial" w:eastAsia="Arial" w:hAnsi="Arial"/>
          <w:sz w:val="18"/>
          <w:szCs w:val="18"/>
          <w:color w:val="auto"/>
        </w:rPr>
        <w:t>68.1%) in the first quarter of 2018.</w:t>
      </w:r>
    </w:p>
    <w:p>
      <w:pPr>
        <w:spacing w:after="0" w:line="21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Gross profit on a non-GAAP basis </w:t>
      </w:r>
      <w:r>
        <w:rPr>
          <w:rFonts w:ascii="Arial" w:cs="Arial" w:eastAsia="Arial" w:hAnsi="Arial"/>
          <w:sz w:val="18"/>
          <w:szCs w:val="18"/>
          <w:color w:val="auto"/>
        </w:rPr>
        <w:t>for the quarter of was $18.3 million (gross margin of 72.4%), a 21% improvement compared with $15.1 million (gross</w:t>
      </w:r>
      <w:r>
        <w:rPr>
          <w:rFonts w:ascii="Arial" w:cs="Arial" w:eastAsia="Arial" w:hAnsi="Arial"/>
          <w:sz w:val="18"/>
          <w:szCs w:val="18"/>
          <w:b w:val="1"/>
          <w:bCs w:val="1"/>
          <w:color w:val="auto"/>
        </w:rPr>
        <w:t xml:space="preserve"> </w:t>
      </w:r>
      <w:r>
        <w:rPr>
          <w:rFonts w:ascii="Arial" w:cs="Arial" w:eastAsia="Arial" w:hAnsi="Arial"/>
          <w:sz w:val="18"/>
          <w:szCs w:val="18"/>
          <w:color w:val="auto"/>
        </w:rPr>
        <w:t>margin of 69.6%) in the first quarter of 2018.</w:t>
      </w:r>
    </w:p>
    <w:p>
      <w:pPr>
        <w:spacing w:after="0" w:line="21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Operating loss on a GAAP basis </w:t>
      </w:r>
      <w:r>
        <w:rPr>
          <w:rFonts w:ascii="Arial" w:cs="Arial" w:eastAsia="Arial" w:hAnsi="Arial"/>
          <w:sz w:val="18"/>
          <w:szCs w:val="18"/>
          <w:color w:val="auto"/>
        </w:rPr>
        <w:t>for the quarter was $3.3 million, an improvement compared with an operating loss of $3.5 million, in the first quarter of</w:t>
      </w:r>
      <w:r>
        <w:rPr>
          <w:rFonts w:ascii="Arial" w:cs="Arial" w:eastAsia="Arial" w:hAnsi="Arial"/>
          <w:sz w:val="18"/>
          <w:szCs w:val="18"/>
          <w:b w:val="1"/>
          <w:bCs w:val="1"/>
          <w:color w:val="auto"/>
        </w:rPr>
        <w:t xml:space="preserve"> </w:t>
      </w:r>
      <w:r>
        <w:rPr>
          <w:rFonts w:ascii="Arial" w:cs="Arial" w:eastAsia="Arial" w:hAnsi="Arial"/>
          <w:sz w:val="18"/>
          <w:szCs w:val="18"/>
          <w:color w:val="auto"/>
        </w:rPr>
        <w:t>2018.</w:t>
      </w:r>
    </w:p>
    <w:p>
      <w:pPr>
        <w:spacing w:after="0" w:line="216"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 xml:space="preserve">Non-GAAP operating loss </w:t>
      </w:r>
      <w:r>
        <w:rPr>
          <w:rFonts w:ascii="Arial" w:cs="Arial" w:eastAsia="Arial" w:hAnsi="Arial"/>
          <w:sz w:val="18"/>
          <w:szCs w:val="18"/>
          <w:color w:val="auto"/>
        </w:rPr>
        <w:t>for the quarter of 2019 was $1.8 million, an improvement compared with a non-GAAP operating loss of $2.3 million in the first</w:t>
      </w:r>
      <w:r>
        <w:rPr>
          <w:rFonts w:ascii="Arial" w:cs="Arial" w:eastAsia="Arial" w:hAnsi="Arial"/>
          <w:sz w:val="18"/>
          <w:szCs w:val="18"/>
          <w:b w:val="1"/>
          <w:bCs w:val="1"/>
          <w:color w:val="auto"/>
        </w:rPr>
        <w:t xml:space="preserve"> </w:t>
      </w:r>
      <w:r>
        <w:rPr>
          <w:rFonts w:ascii="Arial" w:cs="Arial" w:eastAsia="Arial" w:hAnsi="Arial"/>
          <w:sz w:val="18"/>
          <w:szCs w:val="18"/>
          <w:color w:val="auto"/>
        </w:rPr>
        <w:t>quarter of 2018.</w:t>
      </w:r>
    </w:p>
    <w:p>
      <w:pPr>
        <w:spacing w:after="0" w:line="216"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 xml:space="preserve">Net loss on a GAAP basis </w:t>
      </w:r>
      <w:r>
        <w:rPr>
          <w:rFonts w:ascii="Arial" w:cs="Arial" w:eastAsia="Arial" w:hAnsi="Arial"/>
          <w:sz w:val="18"/>
          <w:szCs w:val="18"/>
          <w:color w:val="auto"/>
        </w:rPr>
        <w:t>for the quarter was $3.3 million, or $0.1 per basic and diluted share, an improvement compared with a net loss of $3.7 million, or</w:t>
      </w:r>
      <w:r>
        <w:rPr>
          <w:rFonts w:ascii="Arial" w:cs="Arial" w:eastAsia="Arial" w:hAnsi="Arial"/>
          <w:sz w:val="18"/>
          <w:szCs w:val="18"/>
          <w:b w:val="1"/>
          <w:bCs w:val="1"/>
          <w:color w:val="auto"/>
        </w:rPr>
        <w:t xml:space="preserve"> </w:t>
      </w:r>
      <w:r>
        <w:rPr>
          <w:rFonts w:ascii="Arial" w:cs="Arial" w:eastAsia="Arial" w:hAnsi="Arial"/>
          <w:sz w:val="18"/>
          <w:szCs w:val="18"/>
          <w:color w:val="auto"/>
        </w:rPr>
        <w:t>$0.11 per basic and diluted share, in the first quarter of 2018.</w:t>
      </w:r>
    </w:p>
    <w:p>
      <w:pPr>
        <w:spacing w:after="0" w:line="21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Non-GAAP net loss </w:t>
      </w:r>
      <w:r>
        <w:rPr>
          <w:rFonts w:ascii="Arial" w:cs="Arial" w:eastAsia="Arial" w:hAnsi="Arial"/>
          <w:sz w:val="18"/>
          <w:szCs w:val="18"/>
          <w:color w:val="auto"/>
        </w:rPr>
        <w:t>for the quarter was $1.9 million, or $0.05 per basic and diluted share, an improvement compared with a non-GAAP net loss of $2.4</w:t>
      </w:r>
      <w:r>
        <w:rPr>
          <w:rFonts w:ascii="Arial" w:cs="Arial" w:eastAsia="Arial" w:hAnsi="Arial"/>
          <w:sz w:val="18"/>
          <w:szCs w:val="18"/>
          <w:b w:val="1"/>
          <w:bCs w:val="1"/>
          <w:color w:val="auto"/>
        </w:rPr>
        <w:t xml:space="preserve"> </w:t>
      </w:r>
      <w:r>
        <w:rPr>
          <w:rFonts w:ascii="Arial" w:cs="Arial" w:eastAsia="Arial" w:hAnsi="Arial"/>
          <w:sz w:val="18"/>
          <w:szCs w:val="18"/>
          <w:color w:val="auto"/>
        </w:rPr>
        <w:t>million, or $0.07 per basic and diluted share, in the first quarter of 2018.</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Cash and investments </w:t>
      </w:r>
      <w:r>
        <w:rPr>
          <w:rFonts w:ascii="Arial" w:cs="Arial" w:eastAsia="Arial" w:hAnsi="Arial"/>
          <w:sz w:val="18"/>
          <w:szCs w:val="18"/>
          <w:color w:val="auto"/>
        </w:rPr>
        <w:t>as of March 31, 2019 totaled $101.5 million, compared to $103.9 million as of December 31, 2018.</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Conference Call &amp; Webcast</w:t>
      </w:r>
      <w:r>
        <w:rPr>
          <w:rFonts w:ascii="Arial" w:cs="Arial" w:eastAsia="Arial" w:hAnsi="Arial"/>
          <w:sz w:val="18"/>
          <w:szCs w:val="18"/>
          <w:b w:val="1"/>
          <w:bCs w:val="1"/>
          <w:color w:val="auto"/>
        </w:rPr>
        <w:t>:</w:t>
      </w:r>
    </w:p>
    <w:p>
      <w:pPr>
        <w:spacing w:after="0" w:line="283" w:lineRule="exact"/>
        <w:rPr>
          <w:sz w:val="20"/>
          <w:szCs w:val="20"/>
          <w:color w:val="auto"/>
        </w:rPr>
      </w:pPr>
    </w:p>
    <w:p>
      <w:pPr>
        <w:spacing w:after="0"/>
        <w:rPr>
          <w:sz w:val="20"/>
          <w:szCs w:val="20"/>
          <w:color w:val="auto"/>
        </w:rPr>
      </w:pPr>
      <w:r>
        <w:rPr>
          <w:rFonts w:ascii="Arial" w:cs="Arial" w:eastAsia="Arial" w:hAnsi="Arial"/>
          <w:sz w:val="16"/>
          <w:szCs w:val="16"/>
          <w:color w:val="auto"/>
        </w:rPr>
        <w:t>The Allot management team will host a conference call to discuss first quarter 2019 earnings results today, May 14, 2019 at 8:30 am ET, 3:30 pm Israel time.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To access the conference call, please dial one of the following numbers: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US: 1-888-668- 9141, UK: 0-800-917- 5108, Israel: +972-3-918-0609</w:t>
      </w:r>
    </w:p>
    <w:p>
      <w:pPr>
        <w:spacing w:after="0" w:line="279" w:lineRule="exact"/>
        <w:rPr>
          <w:sz w:val="20"/>
          <w:szCs w:val="20"/>
          <w:color w:val="auto"/>
        </w:rPr>
      </w:pPr>
    </w:p>
    <w:p>
      <w:pPr>
        <w:spacing w:after="0"/>
        <w:tabs>
          <w:tab w:leader="none" w:pos="260" w:val="left"/>
          <w:tab w:leader="none" w:pos="680" w:val="left"/>
          <w:tab w:leader="none" w:pos="1420" w:val="left"/>
          <w:tab w:leader="none" w:pos="1860" w:val="left"/>
          <w:tab w:leader="none" w:pos="2720" w:val="left"/>
          <w:tab w:leader="none" w:pos="3080" w:val="left"/>
          <w:tab w:leader="none" w:pos="3500" w:val="left"/>
          <w:tab w:leader="none" w:pos="3800" w:val="left"/>
          <w:tab w:leader="none" w:pos="4160" w:val="left"/>
          <w:tab w:leader="none" w:pos="4620" w:val="left"/>
          <w:tab w:leader="none" w:pos="4940" w:val="left"/>
          <w:tab w:leader="none" w:pos="5620" w:val="left"/>
          <w:tab w:leader="none" w:pos="5920" w:val="left"/>
          <w:tab w:leader="none" w:pos="6280" w:val="left"/>
          <w:tab w:leader="none" w:pos="7220" w:val="left"/>
          <w:tab w:leader="none" w:pos="7680" w:val="left"/>
          <w:tab w:leader="none" w:pos="8100" w:val="left"/>
          <w:tab w:leader="none" w:pos="8420" w:val="left"/>
          <w:tab w:leader="none" w:pos="9300" w:val="left"/>
          <w:tab w:leader="none" w:pos="9620" w:val="left"/>
          <w:tab w:leader="none" w:pos="10000" w:val="left"/>
          <w:tab w:leader="none" w:pos="10520" w:val="left"/>
          <w:tab w:leader="none" w:pos="11220" w:val="left"/>
        </w:tabs>
        <w:rPr>
          <w:sz w:val="20"/>
          <w:szCs w:val="20"/>
          <w:color w:val="auto"/>
        </w:rPr>
      </w:pPr>
      <w:r>
        <w:rPr>
          <w:rFonts w:ascii="Arial" w:cs="Arial" w:eastAsia="Arial" w:hAnsi="Arial"/>
          <w:sz w:val="18"/>
          <w:szCs w:val="18"/>
          <w:color w:val="auto"/>
        </w:rPr>
        <w:t>A</w:t>
        <w:tab/>
        <w:t>live</w:t>
        <w:tab/>
        <w:t>webcast</w:t>
        <w:tab/>
        <w:t>and,</w:t>
        <w:tab/>
        <w:t>following</w:t>
        <w:tab/>
        <w:t>the</w:t>
        <w:tab/>
        <w:t>end</w:t>
        <w:tab/>
        <w:t>of</w:t>
        <w:tab/>
        <w:t>the</w:t>
        <w:tab/>
        <w:t>call,</w:t>
        <w:tab/>
        <w:t>an</w:t>
        <w:tab/>
        <w:t>archive</w:t>
        <w:tab/>
        <w:t>of</w:t>
        <w:tab/>
        <w:t>the</w:t>
        <w:tab/>
        <w:t>conference</w:t>
        <w:tab/>
        <w:t>call,</w:t>
        <w:tab/>
        <w:t>will</w:t>
        <w:tab/>
        <w:t>be</w:t>
        <w:tab/>
        <w:t>accessible</w:t>
        <w:tab/>
        <w:t>on</w:t>
        <w:tab/>
        <w:t>the</w:t>
        <w:tab/>
        <w:t>Allot</w:t>
        <w:tab/>
        <w:t>website</w:t>
      </w:r>
      <w:r>
        <w:rPr>
          <w:sz w:val="20"/>
          <w:szCs w:val="20"/>
          <w:color w:val="auto"/>
        </w:rPr>
        <w:tab/>
      </w:r>
      <w:r>
        <w:rPr>
          <w:rFonts w:ascii="Arial" w:cs="Arial" w:eastAsia="Arial" w:hAnsi="Arial"/>
          <w:sz w:val="16"/>
          <w:szCs w:val="16"/>
          <w:color w:val="auto"/>
        </w:rPr>
        <w:t>at: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http://investors.allot.com/index.cfm</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Allot</w:t>
      </w:r>
    </w:p>
    <w:p>
      <w:pPr>
        <w:spacing w:after="0" w:line="28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Allot Ltd. (NASDAQ: ALLT, TASE: ALLT) is a provider of leading innovative network intelligence and security solutions for service providers worldwide, enhancing value to their customers. Our solutions are deployed globally for network and application analytics, traffic control and shaping, network-based security services, and more. Allot’s multi-service platforms are deployed by over 500 mobile, fixed and cloud service providers and over 1000 enterprises. Our industry leading network-based security as a service solution has achieved over 50% penetration with some service providers and is already used by over 21 million subscribers in Europe. Allot. See. Control. Secure.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 xml:space="preserve">For more information, visit </w:t>
      </w:r>
      <w:r>
        <w:rPr>
          <w:rFonts w:ascii="Arial" w:cs="Arial" w:eastAsia="Arial" w:hAnsi="Arial"/>
          <w:sz w:val="18"/>
          <w:szCs w:val="18"/>
          <w:u w:val="single" w:color="auto"/>
          <w:color w:val="auto"/>
        </w:rPr>
        <w:t>www.allot.com</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GAAP to Non-GAAP Reconciliation</w:t>
      </w:r>
      <w:r>
        <w:rPr>
          <w:rFonts w:ascii="Arial" w:cs="Arial" w:eastAsia="Arial" w:hAnsi="Arial"/>
          <w:sz w:val="18"/>
          <w:szCs w:val="18"/>
          <w:b w:val="1"/>
          <w:bCs w:val="1"/>
          <w:color w:val="auto"/>
        </w:rPr>
        <w:t>:</w:t>
      </w:r>
    </w:p>
    <w:p>
      <w:pPr>
        <w:spacing w:after="0" w:line="28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Non-GAAP net income is defined as GAAP net income after excluding stock-based compensation expenses, amortization of acquisition-related intangible assets, deferred tax asset adjustment, exchange rate differences related to revaluation of assets and liabilities denominated in non-dollar currencies and other acquisition-related expenses.</w:t>
      </w:r>
    </w:p>
    <w:p>
      <w:pPr>
        <w:spacing w:after="0" w:line="23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These non-GAAP measures should be considered in addition to, and not as a substitute for, comparable GAAP measures. The non-GAAP results and a full reconciliation between GAAP and non-GAAP results is provided in the accompanying Table 2. The Company provides these non-GAAP financial measures because it believes they present a better measure of the Company’s core business and management uses the non-GAAP measures internally to evaluate the Company’s ongoing performance. Accordingly, the Company believes they are useful to investors in enhancing an understanding of the Company’s operating performance.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Statement</w:t>
      </w:r>
    </w:p>
    <w:p>
      <w:pPr>
        <w:spacing w:after="0" w:line="28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This release contains forward-looking statements, which express the current beliefs and expectations of Company management. Such statements involve a number of known and unknown risks and uncertainties that could cause our future results, performance or achievements to differ significantly from the results, performance or achievements set forth in such forward-looking statements. Important factors that could cause or contribute to such differences include risks relating to: our ability to compete successfully with other companies offering competing technologies; the loss of one or more significant customers; consolidation of, and strategic alliances by, our competitors, government regulation; the timing of completion of key project milestones which impact the timing of our revenue recognition; lower demand for key value-added services; our ability to keep pace with advances in technology and to add new features and value-added services; managing lengthy sales cycles; operational risks associated with large projects; our dependence on fourth party channel partners for a material portion of our revenues; court approval of the Company’s proposed share buy-back program; and other factors discussed under the heading "Risk Factors" in the Company's annual report on Form 20-F filed with the Securities and Exchange Commission. Forward-looking statements in this release are made pursuant to the safe harbor provisions contained in the Private Securities Litigation Reform Act of 1995. These forward-looking statements are made only as of the date hereof, and the company undertakes no obligation to update or revise the forward-looking statements, whether as a result of new information, future events or otherwise.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20" w:type="dxa"/>
            <w:vAlign w:val="bottom"/>
            <w:gridSpan w:val="2"/>
          </w:tcPr>
          <w:p>
            <w:pPr>
              <w:spacing w:after="0"/>
              <w:rPr>
                <w:sz w:val="20"/>
                <w:szCs w:val="20"/>
                <w:color w:val="auto"/>
              </w:rPr>
            </w:pPr>
            <w:r>
              <w:rPr>
                <w:rFonts w:ascii="Arial" w:cs="Arial" w:eastAsia="Arial" w:hAnsi="Arial"/>
                <w:sz w:val="18"/>
                <w:szCs w:val="18"/>
                <w:b w:val="1"/>
                <w:bCs w:val="1"/>
                <w:color w:val="auto"/>
              </w:rPr>
              <w:t>Investor Relations Contact:</w:t>
            </w:r>
          </w:p>
        </w:tc>
        <w:tc>
          <w:tcPr>
            <w:tcW w:w="5700" w:type="dxa"/>
            <w:vAlign w:val="bottom"/>
            <w:gridSpan w:val="2"/>
          </w:tcPr>
          <w:p>
            <w:pPr>
              <w:spacing w:after="0"/>
              <w:rPr>
                <w:sz w:val="20"/>
                <w:szCs w:val="20"/>
                <w:color w:val="auto"/>
              </w:rPr>
            </w:pPr>
            <w:r>
              <w:rPr>
                <w:rFonts w:ascii="Arial" w:cs="Arial" w:eastAsia="Arial" w:hAnsi="Arial"/>
                <w:sz w:val="18"/>
                <w:szCs w:val="18"/>
                <w:b w:val="1"/>
                <w:bCs w:val="1"/>
                <w:color w:val="auto"/>
              </w:rPr>
              <w:t>Public Relations Contact:</w:t>
            </w:r>
          </w:p>
        </w:tc>
      </w:tr>
      <w:tr>
        <w:trPr>
          <w:trHeight w:val="220"/>
        </w:trPr>
        <w:tc>
          <w:tcPr>
            <w:tcW w:w="5720" w:type="dxa"/>
            <w:vAlign w:val="bottom"/>
            <w:gridSpan w:val="2"/>
          </w:tcPr>
          <w:p>
            <w:pPr>
              <w:spacing w:after="0"/>
              <w:rPr>
                <w:sz w:val="20"/>
                <w:szCs w:val="20"/>
                <w:color w:val="auto"/>
              </w:rPr>
            </w:pPr>
            <w:r>
              <w:rPr>
                <w:rFonts w:ascii="Arial" w:cs="Arial" w:eastAsia="Arial" w:hAnsi="Arial"/>
                <w:sz w:val="18"/>
                <w:szCs w:val="18"/>
                <w:b w:val="1"/>
                <w:bCs w:val="1"/>
                <w:color w:val="auto"/>
              </w:rPr>
              <w:t>GK Investor Relations</w:t>
            </w:r>
          </w:p>
        </w:tc>
        <w:tc>
          <w:tcPr>
            <w:tcW w:w="5700" w:type="dxa"/>
            <w:vAlign w:val="bottom"/>
            <w:gridSpan w:val="2"/>
          </w:tcPr>
          <w:p>
            <w:pPr>
              <w:spacing w:after="0"/>
              <w:rPr>
                <w:sz w:val="20"/>
                <w:szCs w:val="20"/>
                <w:color w:val="auto"/>
              </w:rPr>
            </w:pPr>
            <w:r>
              <w:rPr>
                <w:rFonts w:ascii="Arial" w:cs="Arial" w:eastAsia="Arial" w:hAnsi="Arial"/>
                <w:sz w:val="18"/>
                <w:szCs w:val="18"/>
                <w:b w:val="1"/>
                <w:bCs w:val="1"/>
                <w:color w:val="auto"/>
              </w:rPr>
              <w:t>Jodi Joseph Asiag</w:t>
            </w:r>
          </w:p>
        </w:tc>
      </w:tr>
      <w:tr>
        <w:trPr>
          <w:trHeight w:val="216"/>
        </w:trPr>
        <w:tc>
          <w:tcPr>
            <w:tcW w:w="5720" w:type="dxa"/>
            <w:vAlign w:val="bottom"/>
            <w:gridSpan w:val="2"/>
          </w:tcPr>
          <w:p>
            <w:pPr>
              <w:spacing w:after="0"/>
              <w:rPr>
                <w:sz w:val="20"/>
                <w:szCs w:val="20"/>
                <w:color w:val="auto"/>
              </w:rPr>
            </w:pPr>
            <w:r>
              <w:rPr>
                <w:rFonts w:ascii="Arial" w:cs="Arial" w:eastAsia="Arial" w:hAnsi="Arial"/>
                <w:sz w:val="18"/>
                <w:szCs w:val="18"/>
                <w:color w:val="auto"/>
              </w:rPr>
              <w:t>Ehud Helft/Gavriel Frohwein</w:t>
            </w:r>
          </w:p>
        </w:tc>
        <w:tc>
          <w:tcPr>
            <w:tcW w:w="5700" w:type="dxa"/>
            <w:vAlign w:val="bottom"/>
            <w:gridSpan w:val="2"/>
          </w:tcPr>
          <w:p>
            <w:pPr>
              <w:spacing w:after="0"/>
              <w:rPr>
                <w:sz w:val="20"/>
                <w:szCs w:val="20"/>
                <w:color w:val="auto"/>
              </w:rPr>
            </w:pPr>
            <w:r>
              <w:rPr>
                <w:rFonts w:ascii="Arial" w:cs="Arial" w:eastAsia="Arial" w:hAnsi="Arial"/>
                <w:sz w:val="18"/>
                <w:szCs w:val="18"/>
                <w:color w:val="auto"/>
              </w:rPr>
              <w:t>Director of Corporate Communications</w:t>
            </w:r>
          </w:p>
        </w:tc>
      </w:tr>
      <w:tr>
        <w:trPr>
          <w:trHeight w:val="190"/>
        </w:trPr>
        <w:tc>
          <w:tcPr>
            <w:tcW w:w="5720" w:type="dxa"/>
            <w:vAlign w:val="bottom"/>
            <w:gridSpan w:val="2"/>
          </w:tcPr>
          <w:p>
            <w:pPr>
              <w:spacing w:after="0" w:line="190" w:lineRule="exact"/>
              <w:rPr>
                <w:sz w:val="20"/>
                <w:szCs w:val="20"/>
                <w:color w:val="auto"/>
              </w:rPr>
            </w:pPr>
            <w:r>
              <w:rPr>
                <w:rFonts w:ascii="Arial" w:cs="Arial" w:eastAsia="Arial" w:hAnsi="Arial"/>
                <w:sz w:val="18"/>
                <w:szCs w:val="18"/>
                <w:color w:val="auto"/>
              </w:rPr>
              <w:t>+1 646 688 3559</w:t>
            </w:r>
          </w:p>
        </w:tc>
        <w:tc>
          <w:tcPr>
            <w:tcW w:w="5700" w:type="dxa"/>
            <w:vAlign w:val="bottom"/>
            <w:gridSpan w:val="2"/>
          </w:tcPr>
          <w:p>
            <w:pPr>
              <w:spacing w:after="0" w:line="190" w:lineRule="exact"/>
              <w:rPr>
                <w:sz w:val="20"/>
                <w:szCs w:val="20"/>
                <w:color w:val="auto"/>
              </w:rPr>
            </w:pPr>
            <w:r>
              <w:rPr>
                <w:rFonts w:ascii="Arial" w:cs="Arial" w:eastAsia="Arial" w:hAnsi="Arial"/>
                <w:sz w:val="18"/>
                <w:szCs w:val="18"/>
                <w:color w:val="auto"/>
              </w:rPr>
              <w:t>jasiag@allot.com</w:t>
            </w:r>
          </w:p>
        </w:tc>
      </w:tr>
      <w:tr>
        <w:trPr>
          <w:trHeight w:val="196"/>
        </w:trPr>
        <w:tc>
          <w:tcPr>
            <w:tcW w:w="5720" w:type="dxa"/>
            <w:vAlign w:val="bottom"/>
            <w:gridSpan w:val="2"/>
          </w:tcPr>
          <w:p>
            <w:pPr>
              <w:spacing w:after="0" w:line="196" w:lineRule="exact"/>
              <w:rPr>
                <w:sz w:val="20"/>
                <w:szCs w:val="20"/>
                <w:color w:val="auto"/>
              </w:rPr>
            </w:pPr>
            <w:r>
              <w:rPr>
                <w:rFonts w:ascii="Arial" w:cs="Arial" w:eastAsia="Arial" w:hAnsi="Arial"/>
                <w:sz w:val="18"/>
                <w:szCs w:val="18"/>
                <w:color w:val="auto"/>
              </w:rPr>
              <w:t>allot@gkir.com</w:t>
            </w:r>
          </w:p>
        </w:tc>
        <w:tc>
          <w:tcPr>
            <w:tcW w:w="1260" w:type="dxa"/>
            <w:vAlign w:val="bottom"/>
            <w:tcBorders>
              <w:top w:val="single" w:sz="8" w:color="auto"/>
            </w:tcBorders>
          </w:tcPr>
          <w:p>
            <w:pPr>
              <w:spacing w:after="0"/>
              <w:rPr>
                <w:sz w:val="17"/>
                <w:szCs w:val="17"/>
                <w:color w:val="auto"/>
              </w:rPr>
            </w:pPr>
          </w:p>
        </w:tc>
        <w:tc>
          <w:tcPr>
            <w:tcW w:w="4440" w:type="dxa"/>
            <w:vAlign w:val="bottom"/>
          </w:tcPr>
          <w:p>
            <w:pPr>
              <w:spacing w:after="0"/>
              <w:rPr>
                <w:sz w:val="17"/>
                <w:szCs w:val="17"/>
                <w:color w:val="auto"/>
              </w:rPr>
            </w:pPr>
          </w:p>
        </w:tc>
      </w:tr>
      <w:tr>
        <w:trPr>
          <w:trHeight w:val="851"/>
        </w:trPr>
        <w:tc>
          <w:tcPr>
            <w:tcW w:w="1120" w:type="dxa"/>
            <w:vAlign w:val="bottom"/>
            <w:tcBorders>
              <w:top w:val="single" w:sz="8" w:color="auto"/>
              <w:bottom w:val="single" w:sz="8" w:color="auto"/>
            </w:tcBorders>
          </w:tcPr>
          <w:p>
            <w:pPr>
              <w:spacing w:after="0"/>
              <w:rPr>
                <w:sz w:val="24"/>
                <w:szCs w:val="24"/>
                <w:color w:val="auto"/>
              </w:rPr>
            </w:pPr>
          </w:p>
        </w:tc>
        <w:tc>
          <w:tcPr>
            <w:tcW w:w="46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95"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TABLE - 1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ALLOT LTD.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ITS SUBSIDIARIES</w:t>
      </w:r>
    </w:p>
    <w:p>
      <w:pPr>
        <w:spacing w:after="0" w:line="9"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ind w:left="3560"/>
        <w:spacing w:after="0"/>
        <w:rPr>
          <w:sz w:val="20"/>
          <w:szCs w:val="20"/>
          <w:color w:val="auto"/>
        </w:rPr>
      </w:pPr>
      <w:r>
        <w:rPr>
          <w:rFonts w:ascii="Arial" w:cs="Arial" w:eastAsia="Arial" w:hAnsi="Arial"/>
          <w:sz w:val="18"/>
          <w:szCs w:val="18"/>
          <w:color w:val="auto"/>
        </w:rPr>
        <w:t>(U.S. dollars in thousands, except share and per share data)</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00" w:type="dxa"/>
            <w:vAlign w:val="bottom"/>
            <w:gridSpan w:val="7"/>
          </w:tcPr>
          <w:p>
            <w:pPr>
              <w:jc w:val="right"/>
              <w:ind w:right="54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00" w:type="dxa"/>
            <w:vAlign w:val="bottom"/>
            <w:gridSpan w:val="7"/>
          </w:tcPr>
          <w:p>
            <w:pPr>
              <w:jc w:val="right"/>
              <w:ind w:right="980"/>
              <w:spacing w:after="0"/>
              <w:rPr>
                <w:sz w:val="20"/>
                <w:szCs w:val="20"/>
                <w:color w:val="auto"/>
              </w:rPr>
            </w:pPr>
            <w:r>
              <w:rPr>
                <w:rFonts w:ascii="Arial" w:cs="Arial" w:eastAsia="Arial" w:hAnsi="Arial"/>
                <w:sz w:val="18"/>
                <w:szCs w:val="18"/>
                <w:b w:val="1"/>
                <w:bCs w:val="1"/>
                <w:color w:val="auto"/>
              </w:rPr>
              <w:t>March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1"/>
              </w:rPr>
              <w:t>(Unaudited)</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89"/>
              </w:rPr>
              <w:t>(Unaudited)</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8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gridSpan w:val="2"/>
          </w:tcPr>
          <w:p>
            <w:pPr>
              <w:spacing w:after="0"/>
              <w:rPr>
                <w:sz w:val="18"/>
                <w:szCs w:val="18"/>
                <w:color w:val="auto"/>
              </w:rPr>
            </w:pPr>
          </w:p>
        </w:tc>
        <w:tc>
          <w:tcPr>
            <w:tcW w:w="11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25,342</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21,732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Cost of revenues</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7,293</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6,924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18,049</w:t>
            </w:r>
          </w:p>
        </w:tc>
        <w:tc>
          <w:tcPr>
            <w:tcW w:w="20" w:type="dxa"/>
            <w:vAlign w:val="bottom"/>
            <w:tcBorders>
              <w:top w:val="single" w:sz="8" w:color="auto"/>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14,808</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Research and development costs, net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7,174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5,793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11,477</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10,033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2,705</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2,466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21,356</w:t>
            </w: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Operating loss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3"/>
          </w:tcPr>
          <w:p>
            <w:pPr>
              <w:jc w:val="right"/>
              <w:ind w:right="80"/>
              <w:spacing w:after="0"/>
              <w:rPr>
                <w:sz w:val="20"/>
                <w:szCs w:val="20"/>
                <w:color w:val="auto"/>
              </w:rPr>
            </w:pPr>
            <w:r>
              <w:rPr>
                <w:rFonts w:ascii="Arial" w:cs="Arial" w:eastAsia="Arial" w:hAnsi="Arial"/>
                <w:sz w:val="18"/>
                <w:szCs w:val="18"/>
                <w:color w:val="auto"/>
              </w:rPr>
              <w:t>(3,307)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(3,484)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Financial and other income, net</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Loss before income tax expenses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3"/>
          </w:tcPr>
          <w:p>
            <w:pPr>
              <w:jc w:val="right"/>
              <w:ind w:right="80"/>
              <w:spacing w:after="0"/>
              <w:rPr>
                <w:sz w:val="20"/>
                <w:szCs w:val="20"/>
                <w:color w:val="auto"/>
              </w:rPr>
            </w:pPr>
            <w:r>
              <w:rPr>
                <w:rFonts w:ascii="Arial" w:cs="Arial" w:eastAsia="Arial" w:hAnsi="Arial"/>
                <w:sz w:val="18"/>
                <w:szCs w:val="18"/>
                <w:color w:val="auto"/>
              </w:rPr>
              <w:t>(2,775)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(3,254)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Tax expenses</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558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spacing w:after="0"/>
              <w:rPr>
                <w:sz w:val="22"/>
                <w:szCs w:val="22"/>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(3,333)</w:t>
            </w:r>
          </w:p>
        </w:tc>
        <w:tc>
          <w:tcPr>
            <w:tcW w:w="20" w:type="dxa"/>
            <w:vAlign w:val="bottom"/>
            <w:tcBorders>
              <w:top w:val="single" w:sz="8" w:color="auto"/>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spacing w:after="0"/>
              <w:rPr>
                <w:sz w:val="22"/>
                <w:szCs w:val="22"/>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(3,686)</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8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1180" w:type="dxa"/>
            <w:vAlign w:val="bottom"/>
            <w:gridSpan w:val="3"/>
          </w:tcPr>
          <w:p>
            <w:pPr>
              <w:spacing w:after="0"/>
              <w:rPr>
                <w:sz w:val="18"/>
                <w:szCs w:val="18"/>
                <w:color w:val="auto"/>
              </w:rPr>
            </w:pPr>
          </w:p>
        </w:tc>
        <w:tc>
          <w:tcPr>
            <w:tcW w:w="180" w:type="dxa"/>
            <w:vAlign w:val="bottom"/>
            <w:gridSpan w:val="2"/>
          </w:tcPr>
          <w:p>
            <w:pPr>
              <w:spacing w:after="0"/>
              <w:rPr>
                <w:sz w:val="18"/>
                <w:szCs w:val="18"/>
                <w:color w:val="auto"/>
              </w:rPr>
            </w:pPr>
          </w:p>
        </w:tc>
        <w:tc>
          <w:tcPr>
            <w:tcW w:w="11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6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Basic net loss per share</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(0.10)</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gridSpan w:val="2"/>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6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Diluted net loss per share</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(0.10)</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6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 used in</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computing basic net loss per share</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33,983,863</w:t>
            </w: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33,555,980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6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 used in</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computing diluted net loss per share</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33,983,863</w:t>
            </w:r>
          </w:p>
        </w:tc>
        <w:tc>
          <w:tcPr>
            <w:tcW w:w="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33,555,980</w:t>
            </w: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868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TABLE - 2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ALLOT LTD.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ITS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GAAP TO NON-GAAP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(U.S. dollars in thousands, except per share data)</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0" w:type="dxa"/>
            <w:vAlign w:val="bottom"/>
            <w:gridSpan w:val="6"/>
          </w:tcPr>
          <w:p>
            <w:pPr>
              <w:jc w:val="center"/>
              <w:ind w:right="320"/>
              <w:spacing w:after="0"/>
              <w:rPr>
                <w:sz w:val="20"/>
                <w:szCs w:val="20"/>
                <w:color w:val="auto"/>
              </w:rPr>
            </w:pPr>
            <w:r>
              <w:rPr>
                <w:rFonts w:ascii="Arial" w:cs="Arial" w:eastAsia="Arial" w:hAnsi="Arial"/>
                <w:sz w:val="18"/>
                <w:szCs w:val="18"/>
                <w:b w:val="1"/>
                <w:bCs w:val="1"/>
                <w:color w:val="auto"/>
                <w:w w:val="92"/>
              </w:rPr>
              <w:t>Three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4"/>
          </w:tcPr>
          <w:p>
            <w:pPr>
              <w:jc w:val="center"/>
              <w:ind w:left="510"/>
              <w:spacing w:after="0"/>
              <w:rPr>
                <w:sz w:val="20"/>
                <w:szCs w:val="20"/>
                <w:color w:val="auto"/>
              </w:rPr>
            </w:pPr>
            <w:r>
              <w:rPr>
                <w:rFonts w:ascii="Arial" w:cs="Arial" w:eastAsia="Arial" w:hAnsi="Arial"/>
                <w:sz w:val="18"/>
                <w:szCs w:val="18"/>
                <w:b w:val="1"/>
                <w:bCs w:val="1"/>
                <w:color w:val="auto"/>
                <w:w w:val="96"/>
              </w:rPr>
              <w:t>March 31,</w:t>
            </w: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gridSpan w:val="5"/>
          </w:tcPr>
          <w:p>
            <w:pPr>
              <w:jc w:val="center"/>
              <w:ind w:right="170"/>
              <w:spacing w:after="0"/>
              <w:rPr>
                <w:sz w:val="20"/>
                <w:szCs w:val="20"/>
                <w:color w:val="auto"/>
              </w:rPr>
            </w:pPr>
            <w:r>
              <w:rPr>
                <w:rFonts w:ascii="Arial" w:cs="Arial" w:eastAsia="Arial" w:hAnsi="Arial"/>
                <w:sz w:val="18"/>
                <w:szCs w:val="18"/>
                <w:b w:val="1"/>
                <w:bCs w:val="1"/>
                <w:color w:val="auto"/>
                <w:w w:val="91"/>
              </w:rPr>
              <w:t>(Unaudited)</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gridSpan w:val="2"/>
          </w:tcPr>
          <w:p>
            <w:pPr>
              <w:spacing w:after="0"/>
              <w:rPr>
                <w:sz w:val="18"/>
                <w:szCs w:val="18"/>
                <w:color w:val="auto"/>
              </w:rPr>
            </w:pPr>
          </w:p>
        </w:tc>
        <w:tc>
          <w:tcPr>
            <w:tcW w:w="9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GAAP cost of revenues</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7,293</w:t>
            </w:r>
          </w:p>
        </w:tc>
        <w:tc>
          <w:tcPr>
            <w:tcW w:w="1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40"/>
              <w:spacing w:after="0"/>
              <w:rPr>
                <w:sz w:val="20"/>
                <w:szCs w:val="20"/>
                <w:color w:val="auto"/>
              </w:rPr>
            </w:pPr>
            <w:r>
              <w:rPr>
                <w:rFonts w:ascii="Arial" w:cs="Arial" w:eastAsia="Arial" w:hAnsi="Arial"/>
                <w:sz w:val="18"/>
                <w:szCs w:val="18"/>
                <w:color w:val="auto"/>
              </w:rPr>
              <w:t>Share-based compensation (1)</w:t>
            </w:r>
          </w:p>
        </w:tc>
        <w:tc>
          <w:tcPr>
            <w:tcW w:w="2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(60)</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intangible assets (2)</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(232)</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tcBorders>
              <w:right w:val="single" w:sz="8" w:color="CCEEFF"/>
            </w:tcBorders>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Non-GAAP cost of revenues</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7,001</w:t>
            </w:r>
          </w:p>
        </w:tc>
        <w:tc>
          <w:tcPr>
            <w:tcW w:w="120" w:type="dxa"/>
            <w:vAlign w:val="bottom"/>
          </w:tcPr>
          <w:p>
            <w:pPr>
              <w:spacing w:after="0"/>
              <w:rPr>
                <w:sz w:val="19"/>
                <w:szCs w:val="19"/>
                <w:color w:val="auto"/>
              </w:rPr>
            </w:pPr>
          </w:p>
        </w:tc>
        <w:tc>
          <w:tcPr>
            <w:tcW w:w="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6,612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40"/>
              <w:spacing w:after="0"/>
              <w:rPr>
                <w:sz w:val="20"/>
                <w:szCs w:val="20"/>
                <w:color w:val="auto"/>
              </w:rPr>
            </w:pPr>
            <w:r>
              <w:rPr>
                <w:rFonts w:ascii="Arial" w:cs="Arial" w:eastAsia="Arial" w:hAnsi="Arial"/>
                <w:sz w:val="18"/>
                <w:szCs w:val="18"/>
                <w:color w:val="auto"/>
              </w:rPr>
              <w:t>GAAP gross profit</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18,049</w:t>
            </w:r>
          </w:p>
        </w:tc>
        <w:tc>
          <w:tcPr>
            <w:tcW w:w="120" w:type="dxa"/>
            <w:vAlign w:val="bottom"/>
          </w:tcPr>
          <w:p>
            <w:pPr>
              <w:spacing w:after="0"/>
              <w:rPr>
                <w:sz w:val="18"/>
                <w:szCs w:val="18"/>
                <w:color w:val="auto"/>
              </w:rPr>
            </w:pPr>
          </w:p>
        </w:tc>
        <w:tc>
          <w:tcPr>
            <w:tcW w:w="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14,808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 adjustments</w:t>
            </w: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40"/>
              <w:spacing w:after="0"/>
              <w:rPr>
                <w:sz w:val="20"/>
                <w:szCs w:val="20"/>
                <w:color w:val="auto"/>
              </w:rPr>
            </w:pPr>
            <w:r>
              <w:rPr>
                <w:rFonts w:ascii="Arial" w:cs="Arial" w:eastAsia="Arial" w:hAnsi="Arial"/>
                <w:sz w:val="18"/>
                <w:szCs w:val="18"/>
                <w:color w:val="auto"/>
              </w:rPr>
              <w:t>Non-GAAP gross profit</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18,341</w:t>
            </w:r>
          </w:p>
        </w:tc>
        <w:tc>
          <w:tcPr>
            <w:tcW w:w="120" w:type="dxa"/>
            <w:vAlign w:val="bottom"/>
          </w:tcPr>
          <w:p>
            <w:pPr>
              <w:spacing w:after="0"/>
              <w:rPr>
                <w:sz w:val="19"/>
                <w:szCs w:val="19"/>
                <w:color w:val="auto"/>
              </w:rPr>
            </w:pPr>
          </w:p>
        </w:tc>
        <w:tc>
          <w:tcPr>
            <w:tcW w:w="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15,120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40"/>
              <w:spacing w:after="0"/>
              <w:rPr>
                <w:sz w:val="20"/>
                <w:szCs w:val="20"/>
                <w:color w:val="auto"/>
              </w:rPr>
            </w:pPr>
            <w:r>
              <w:rPr>
                <w:rFonts w:ascii="Arial" w:cs="Arial" w:eastAsia="Arial" w:hAnsi="Arial"/>
                <w:sz w:val="18"/>
                <w:szCs w:val="18"/>
                <w:color w:val="auto"/>
              </w:rPr>
              <w:t>GAAP operating expenses</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21,356</w:t>
            </w:r>
          </w:p>
        </w:tc>
        <w:tc>
          <w:tcPr>
            <w:tcW w:w="120" w:type="dxa"/>
            <w:vAlign w:val="bottom"/>
          </w:tcPr>
          <w:p>
            <w:pPr>
              <w:spacing w:after="0"/>
              <w:rPr>
                <w:sz w:val="18"/>
                <w:szCs w:val="18"/>
                <w:color w:val="auto"/>
              </w:rPr>
            </w:pPr>
          </w:p>
        </w:tc>
        <w:tc>
          <w:tcPr>
            <w:tcW w:w="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18,292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Share-based compensation (1)</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(685)</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20"/>
              <w:spacing w:after="0"/>
              <w:rPr>
                <w:sz w:val="20"/>
                <w:szCs w:val="20"/>
                <w:color w:val="auto"/>
              </w:rPr>
            </w:pPr>
            <w:r>
              <w:rPr>
                <w:rFonts w:ascii="Arial" w:cs="Arial" w:eastAsia="Arial" w:hAnsi="Arial"/>
                <w:sz w:val="18"/>
                <w:szCs w:val="18"/>
                <w:color w:val="auto"/>
              </w:rPr>
              <w:t>Amortization of intangible assets (2)</w:t>
            </w:r>
          </w:p>
        </w:tc>
        <w:tc>
          <w:tcPr>
            <w:tcW w:w="2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(188)</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Expenses related to M&amp;A activities (3)</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(295)</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8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tcBorders>
              <w:right w:val="single" w:sz="8" w:color="CCEEFF"/>
            </w:tcBorders>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40"/>
              <w:spacing w:after="0"/>
              <w:rPr>
                <w:sz w:val="20"/>
                <w:szCs w:val="20"/>
                <w:color w:val="auto"/>
              </w:rPr>
            </w:pPr>
            <w:r>
              <w:rPr>
                <w:rFonts w:ascii="Arial" w:cs="Arial" w:eastAsia="Arial" w:hAnsi="Arial"/>
                <w:sz w:val="18"/>
                <w:szCs w:val="18"/>
                <w:color w:val="auto"/>
              </w:rPr>
              <w:t>Non-GAAP operating expenses</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20,188</w:t>
            </w:r>
          </w:p>
        </w:tc>
        <w:tc>
          <w:tcPr>
            <w:tcW w:w="120" w:type="dxa"/>
            <w:vAlign w:val="bottom"/>
          </w:tcPr>
          <w:p>
            <w:pPr>
              <w:spacing w:after="0"/>
              <w:rPr>
                <w:sz w:val="19"/>
                <w:szCs w:val="19"/>
                <w:color w:val="auto"/>
              </w:rPr>
            </w:pPr>
          </w:p>
        </w:tc>
        <w:tc>
          <w:tcPr>
            <w:tcW w:w="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17,455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40"/>
              <w:spacing w:after="0"/>
              <w:rPr>
                <w:sz w:val="20"/>
                <w:szCs w:val="20"/>
                <w:color w:val="auto"/>
              </w:rPr>
            </w:pPr>
            <w:r>
              <w:rPr>
                <w:rFonts w:ascii="Arial" w:cs="Arial" w:eastAsia="Arial" w:hAnsi="Arial"/>
                <w:sz w:val="18"/>
                <w:szCs w:val="18"/>
                <w:color w:val="auto"/>
              </w:rPr>
              <w:t>GAAP financial and other income</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532</w:t>
            </w:r>
          </w:p>
        </w:tc>
        <w:tc>
          <w:tcPr>
            <w:tcW w:w="120" w:type="dxa"/>
            <w:vAlign w:val="bottom"/>
          </w:tcPr>
          <w:p>
            <w:pPr>
              <w:spacing w:after="0"/>
              <w:rPr>
                <w:sz w:val="18"/>
                <w:szCs w:val="18"/>
                <w:color w:val="auto"/>
              </w:rPr>
            </w:pPr>
          </w:p>
        </w:tc>
        <w:tc>
          <w:tcPr>
            <w:tcW w:w="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Exchange rate differences*</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8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tcBorders>
              <w:right w:val="single" w:sz="8" w:color="CCEEFF"/>
            </w:tcBorders>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40"/>
              <w:spacing w:after="0"/>
              <w:rPr>
                <w:sz w:val="20"/>
                <w:szCs w:val="20"/>
                <w:color w:val="auto"/>
              </w:rPr>
            </w:pPr>
            <w:r>
              <w:rPr>
                <w:rFonts w:ascii="Arial" w:cs="Arial" w:eastAsia="Arial" w:hAnsi="Arial"/>
                <w:sz w:val="18"/>
                <w:szCs w:val="18"/>
                <w:color w:val="auto"/>
              </w:rPr>
              <w:t>Non-GAAP Financial and other income</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530</w:t>
            </w:r>
          </w:p>
        </w:tc>
        <w:tc>
          <w:tcPr>
            <w:tcW w:w="120" w:type="dxa"/>
            <w:vAlign w:val="bottom"/>
          </w:tcPr>
          <w:p>
            <w:pPr>
              <w:spacing w:after="0"/>
              <w:rPr>
                <w:sz w:val="19"/>
                <w:szCs w:val="19"/>
                <w:color w:val="auto"/>
              </w:rPr>
            </w:pPr>
          </w:p>
        </w:tc>
        <w:tc>
          <w:tcPr>
            <w:tcW w:w="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40"/>
              <w:spacing w:after="0"/>
              <w:rPr>
                <w:sz w:val="20"/>
                <w:szCs w:val="20"/>
                <w:color w:val="auto"/>
              </w:rPr>
            </w:pPr>
            <w:r>
              <w:rPr>
                <w:rFonts w:ascii="Arial" w:cs="Arial" w:eastAsia="Arial" w:hAnsi="Arial"/>
                <w:sz w:val="18"/>
                <w:szCs w:val="18"/>
                <w:color w:val="auto"/>
              </w:rPr>
              <w:t>GAAP taxes on income</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558</w:t>
            </w:r>
          </w:p>
        </w:tc>
        <w:tc>
          <w:tcPr>
            <w:tcW w:w="120" w:type="dxa"/>
            <w:vAlign w:val="bottom"/>
          </w:tcPr>
          <w:p>
            <w:pPr>
              <w:spacing w:after="0"/>
              <w:rPr>
                <w:sz w:val="18"/>
                <w:szCs w:val="18"/>
                <w:color w:val="auto"/>
              </w:rPr>
            </w:pPr>
          </w:p>
        </w:tc>
        <w:tc>
          <w:tcPr>
            <w:tcW w:w="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expenses in respect of net deferred tax asset recorded</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8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tcBorders>
              <w:right w:val="single" w:sz="8" w:color="CCEEFF"/>
            </w:tcBorders>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40"/>
              <w:spacing w:after="0"/>
              <w:rPr>
                <w:sz w:val="20"/>
                <w:szCs w:val="20"/>
                <w:color w:val="auto"/>
              </w:rPr>
            </w:pPr>
            <w:r>
              <w:rPr>
                <w:rFonts w:ascii="Arial" w:cs="Arial" w:eastAsia="Arial" w:hAnsi="Arial"/>
                <w:sz w:val="18"/>
                <w:szCs w:val="18"/>
                <w:color w:val="auto"/>
              </w:rPr>
              <w:t>Non-GAAP taxes on income</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542</w:t>
            </w:r>
          </w:p>
        </w:tc>
        <w:tc>
          <w:tcPr>
            <w:tcW w:w="120" w:type="dxa"/>
            <w:vAlign w:val="bottom"/>
          </w:tcPr>
          <w:p>
            <w:pPr>
              <w:spacing w:after="0"/>
              <w:rPr>
                <w:sz w:val="18"/>
                <w:szCs w:val="18"/>
                <w:color w:val="auto"/>
              </w:rPr>
            </w:pPr>
          </w:p>
        </w:tc>
        <w:tc>
          <w:tcPr>
            <w:tcW w:w="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413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c>
          <w:tcPr>
            <w:tcW w:w="360" w:type="dxa"/>
            <w:vAlign w:val="bottom"/>
            <w:gridSpan w:val="2"/>
            <w:shd w:val="clear" w:color="auto" w:fill="CCEEFF"/>
          </w:tcPr>
          <w:p>
            <w:pPr>
              <w:spacing w:after="0"/>
              <w:rPr>
                <w:sz w:val="18"/>
                <w:szCs w:val="18"/>
                <w:color w:val="auto"/>
              </w:rPr>
            </w:pPr>
          </w:p>
        </w:tc>
        <w:tc>
          <w:tcPr>
            <w:tcW w:w="96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40"/>
              <w:spacing w:after="0"/>
              <w:rPr>
                <w:sz w:val="20"/>
                <w:szCs w:val="20"/>
                <w:color w:val="auto"/>
              </w:rPr>
            </w:pPr>
            <w:r>
              <w:rPr>
                <w:rFonts w:ascii="Arial" w:cs="Arial" w:eastAsia="Arial" w:hAnsi="Arial"/>
                <w:sz w:val="18"/>
                <w:szCs w:val="18"/>
                <w:color w:val="auto"/>
              </w:rPr>
              <w:t>GAAP Net Loss</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(3,333)</w:t>
            </w:r>
          </w:p>
        </w:tc>
        <w:tc>
          <w:tcPr>
            <w:tcW w:w="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(3,686)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Share-based compensation (1)</w:t>
            </w:r>
          </w:p>
        </w:tc>
        <w:tc>
          <w:tcPr>
            <w:tcW w:w="20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20"/>
              <w:spacing w:after="0"/>
              <w:rPr>
                <w:sz w:val="20"/>
                <w:szCs w:val="20"/>
                <w:color w:val="auto"/>
              </w:rPr>
            </w:pPr>
            <w:r>
              <w:rPr>
                <w:rFonts w:ascii="Arial" w:cs="Arial" w:eastAsia="Arial" w:hAnsi="Arial"/>
                <w:sz w:val="18"/>
                <w:szCs w:val="18"/>
                <w:color w:val="auto"/>
              </w:rPr>
              <w:t>Amortization of intangible assets (2)</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420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Expenses related to M&amp;A activities (3)</w:t>
            </w:r>
          </w:p>
        </w:tc>
        <w:tc>
          <w:tcPr>
            <w:tcW w:w="20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40"/>
              <w:spacing w:after="0"/>
              <w:rPr>
                <w:sz w:val="20"/>
                <w:szCs w:val="20"/>
                <w:color w:val="auto"/>
              </w:rPr>
            </w:pPr>
            <w:r>
              <w:rPr>
                <w:rFonts w:ascii="Arial" w:cs="Arial" w:eastAsia="Arial" w:hAnsi="Arial"/>
                <w:sz w:val="18"/>
                <w:szCs w:val="18"/>
                <w:color w:val="auto"/>
              </w:rPr>
              <w:t>Exchange rate differences</w:t>
            </w:r>
          </w:p>
        </w:tc>
        <w:tc>
          <w:tcPr>
            <w:tcW w:w="2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Tax expenses in respect of net deferred tax asset recorded</w:t>
            </w: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40"/>
              <w:spacing w:after="0"/>
              <w:rPr>
                <w:sz w:val="20"/>
                <w:szCs w:val="20"/>
                <w:color w:val="auto"/>
              </w:rPr>
            </w:pPr>
            <w:r>
              <w:rPr>
                <w:rFonts w:ascii="Arial" w:cs="Arial" w:eastAsia="Arial" w:hAnsi="Arial"/>
                <w:sz w:val="18"/>
                <w:szCs w:val="18"/>
                <w:color w:val="auto"/>
              </w:rPr>
              <w:t>Non-GAAP Net Loss</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(1,859)</w:t>
            </w:r>
          </w:p>
        </w:tc>
        <w:tc>
          <w:tcPr>
            <w:tcW w:w="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(2,368)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c>
          <w:tcPr>
            <w:tcW w:w="360" w:type="dxa"/>
            <w:vAlign w:val="bottom"/>
            <w:gridSpan w:val="2"/>
            <w:shd w:val="clear" w:color="auto" w:fill="CCEEFF"/>
          </w:tcPr>
          <w:p>
            <w:pPr>
              <w:spacing w:after="0"/>
              <w:rPr>
                <w:sz w:val="18"/>
                <w:szCs w:val="18"/>
                <w:color w:val="auto"/>
              </w:rPr>
            </w:pPr>
          </w:p>
        </w:tc>
        <w:tc>
          <w:tcPr>
            <w:tcW w:w="96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40"/>
              <w:spacing w:after="0"/>
              <w:rPr>
                <w:sz w:val="20"/>
                <w:szCs w:val="20"/>
                <w:color w:val="auto"/>
              </w:rPr>
            </w:pPr>
            <w:r>
              <w:rPr>
                <w:rFonts w:ascii="Arial" w:cs="Arial" w:eastAsia="Arial" w:hAnsi="Arial"/>
                <w:sz w:val="18"/>
                <w:szCs w:val="18"/>
                <w:color w:val="auto"/>
              </w:rPr>
              <w:t>GAAP Loss per share (diluted)</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(0.10)</w:t>
            </w:r>
          </w:p>
        </w:tc>
        <w:tc>
          <w:tcPr>
            <w:tcW w:w="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Share-based compensation</w:t>
            </w:r>
          </w:p>
        </w:tc>
        <w:tc>
          <w:tcPr>
            <w:tcW w:w="20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20"/>
              <w:spacing w:after="0"/>
              <w:rPr>
                <w:sz w:val="20"/>
                <w:szCs w:val="20"/>
                <w:color w:val="auto"/>
              </w:rPr>
            </w:pPr>
            <w:r>
              <w:rPr>
                <w:rFonts w:ascii="Arial" w:cs="Arial" w:eastAsia="Arial" w:hAnsi="Arial"/>
                <w:sz w:val="18"/>
                <w:szCs w:val="18"/>
                <w:color w:val="auto"/>
              </w:rPr>
              <w:t>Amortization of intangible assets</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0.02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Expenses related to M&amp;A activities</w:t>
            </w:r>
          </w:p>
        </w:tc>
        <w:tc>
          <w:tcPr>
            <w:tcW w:w="20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40"/>
              <w:spacing w:after="0"/>
              <w:rPr>
                <w:sz w:val="20"/>
                <w:szCs w:val="20"/>
                <w:color w:val="auto"/>
              </w:rPr>
            </w:pPr>
            <w:r>
              <w:rPr>
                <w:rFonts w:ascii="Arial" w:cs="Arial" w:eastAsia="Arial" w:hAnsi="Arial"/>
                <w:sz w:val="18"/>
                <w:szCs w:val="18"/>
                <w:color w:val="auto"/>
              </w:rPr>
              <w:t>Exchange rate differences</w:t>
            </w:r>
          </w:p>
        </w:tc>
        <w:tc>
          <w:tcPr>
            <w:tcW w:w="2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(0.00)</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Tax expense in respect of net deferred tax asset recorded</w:t>
            </w: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40"/>
              <w:spacing w:after="0"/>
              <w:rPr>
                <w:sz w:val="20"/>
                <w:szCs w:val="20"/>
                <w:color w:val="auto"/>
              </w:rPr>
            </w:pPr>
            <w:r>
              <w:rPr>
                <w:rFonts w:ascii="Arial" w:cs="Arial" w:eastAsia="Arial" w:hAnsi="Arial"/>
                <w:sz w:val="18"/>
                <w:szCs w:val="18"/>
                <w:color w:val="auto"/>
              </w:rPr>
              <w:t>Non-GAAP Net loss per share (diluted)</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(0.05)</w:t>
            </w:r>
          </w:p>
        </w:tc>
        <w:tc>
          <w:tcPr>
            <w:tcW w:w="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1"/>
        </w:trPr>
        <w:tc>
          <w:tcPr>
            <w:tcW w:w="8820" w:type="dxa"/>
            <w:vAlign w:val="bottom"/>
            <w:gridSpan w:val="2"/>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800" w:type="dxa"/>
            <w:vAlign w:val="bottom"/>
          </w:tcPr>
          <w:p>
            <w:pPr>
              <w:spacing w:after="0" w:line="201" w:lineRule="exact"/>
              <w:rPr>
                <w:sz w:val="20"/>
                <w:szCs w:val="20"/>
                <w:color w:val="auto"/>
              </w:rPr>
            </w:pPr>
            <w:r>
              <w:rPr>
                <w:rFonts w:ascii="Arial" w:cs="Arial" w:eastAsia="Arial" w:hAnsi="Arial"/>
                <w:sz w:val="18"/>
                <w:szCs w:val="18"/>
                <w:color w:val="auto"/>
              </w:rPr>
              <w:t>Weighted average number of shares used in</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820" w:type="dxa"/>
            <w:vAlign w:val="bottom"/>
            <w:gridSpan w:val="2"/>
          </w:tcPr>
          <w:p>
            <w:pPr>
              <w:spacing w:after="0"/>
              <w:rPr>
                <w:sz w:val="20"/>
                <w:szCs w:val="20"/>
                <w:color w:val="auto"/>
              </w:rPr>
            </w:pPr>
            <w:r>
              <w:rPr>
                <w:rFonts w:ascii="Arial" w:cs="Arial" w:eastAsia="Arial" w:hAnsi="Arial"/>
                <w:sz w:val="18"/>
                <w:szCs w:val="18"/>
                <w:color w:val="auto"/>
              </w:rPr>
              <w:t>computing GAAP diluted net loss per share</w:t>
            </w: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33,983,863</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33,555,980</w:t>
            </w:r>
          </w:p>
        </w:tc>
        <w:tc>
          <w:tcPr>
            <w:tcW w:w="0" w:type="dxa"/>
            <w:vAlign w:val="bottom"/>
          </w:tcPr>
          <w:p>
            <w:pPr>
              <w:spacing w:after="0"/>
              <w:rPr>
                <w:sz w:val="1"/>
                <w:szCs w:val="1"/>
                <w:color w:val="auto"/>
              </w:rPr>
            </w:pPr>
          </w:p>
        </w:tc>
      </w:tr>
      <w:tr>
        <w:trPr>
          <w:trHeight w:val="21"/>
        </w:trPr>
        <w:tc>
          <w:tcPr>
            <w:tcW w:w="8820" w:type="dxa"/>
            <w:vAlign w:val="bottom"/>
            <w:gridSpan w:val="2"/>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800" w:type="dxa"/>
            <w:vAlign w:val="bottom"/>
          </w:tcPr>
          <w:p>
            <w:pPr>
              <w:spacing w:after="0" w:line="201" w:lineRule="exact"/>
              <w:rPr>
                <w:sz w:val="20"/>
                <w:szCs w:val="20"/>
                <w:color w:val="auto"/>
              </w:rPr>
            </w:pPr>
            <w:r>
              <w:rPr>
                <w:rFonts w:ascii="Arial" w:cs="Arial" w:eastAsia="Arial" w:hAnsi="Arial"/>
                <w:sz w:val="18"/>
                <w:szCs w:val="18"/>
                <w:color w:val="auto"/>
              </w:rPr>
              <w:t>Weighted average number of shares used in</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820" w:type="dxa"/>
            <w:vAlign w:val="bottom"/>
            <w:gridSpan w:val="2"/>
          </w:tcPr>
          <w:p>
            <w:pPr>
              <w:spacing w:after="0"/>
              <w:rPr>
                <w:sz w:val="20"/>
                <w:szCs w:val="20"/>
                <w:color w:val="auto"/>
              </w:rPr>
            </w:pPr>
            <w:r>
              <w:rPr>
                <w:rFonts w:ascii="Arial" w:cs="Arial" w:eastAsia="Arial" w:hAnsi="Arial"/>
                <w:sz w:val="18"/>
                <w:szCs w:val="18"/>
                <w:color w:val="auto"/>
              </w:rPr>
              <w:t>computing non-GAAP diluted net loss per share</w:t>
            </w: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33,983,863</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33,555,980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660" w:firstLine="8"/>
        <w:spacing w:after="0" w:line="277" w:lineRule="auto"/>
        <w:tabs>
          <w:tab w:leader="none" w:pos="135" w:val="left"/>
        </w:tabs>
        <w:numPr>
          <w:ilvl w:val="0"/>
          <w:numId w:val="3"/>
        </w:numPr>
        <w:rPr>
          <w:rFonts w:ascii="Arial" w:cs="Arial" w:eastAsia="Arial" w:hAnsi="Arial"/>
          <w:sz w:val="18"/>
          <w:szCs w:val="18"/>
          <w:color w:val="auto"/>
        </w:rPr>
      </w:pPr>
      <w:r>
        <w:rPr>
          <w:rFonts w:ascii="Arial" w:cs="Arial" w:eastAsia="Arial" w:hAnsi="Arial"/>
          <w:sz w:val="18"/>
          <w:szCs w:val="18"/>
          <w:color w:val="auto"/>
        </w:rPr>
        <w:t>Financial income or expenses related to exchange rate differences in connection with revaluation of assets and liabilities in non-dollar denominated currencies.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TABLE - 2 cont.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ALLOT COMMUNICATIONS LTD.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ITS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GAAP TO NON-GAAP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(U.S. dollars in thousands, except per share data)</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140" w:type="dxa"/>
            <w:vAlign w:val="bottom"/>
            <w:gridSpan w:val="5"/>
          </w:tcPr>
          <w:p>
            <w:pPr>
              <w:jc w:val="center"/>
              <w:ind w:left="223"/>
              <w:spacing w:after="0"/>
              <w:rPr>
                <w:sz w:val="20"/>
                <w:szCs w:val="20"/>
                <w:color w:val="auto"/>
              </w:rPr>
            </w:pPr>
            <w:r>
              <w:rPr>
                <w:rFonts w:ascii="Arial" w:cs="Arial" w:eastAsia="Arial" w:hAnsi="Arial"/>
                <w:sz w:val="18"/>
                <w:szCs w:val="18"/>
                <w:b w:val="1"/>
                <w:bCs w:val="1"/>
                <w:color w:val="auto"/>
                <w:w w:val="92"/>
              </w:rPr>
              <w:t>Three Months Ended</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4"/>
          </w:tcPr>
          <w:p>
            <w:pPr>
              <w:jc w:val="center"/>
              <w:ind w:right="357"/>
              <w:spacing w:after="0"/>
              <w:rPr>
                <w:sz w:val="20"/>
                <w:szCs w:val="20"/>
                <w:color w:val="auto"/>
              </w:rPr>
            </w:pPr>
            <w:r>
              <w:rPr>
                <w:rFonts w:ascii="Arial" w:cs="Arial" w:eastAsia="Arial" w:hAnsi="Arial"/>
                <w:sz w:val="18"/>
                <w:szCs w:val="18"/>
                <w:b w:val="1"/>
                <w:bCs w:val="1"/>
                <w:color w:val="auto"/>
                <w:w w:val="96"/>
              </w:rPr>
              <w:t>March 31,</w:t>
            </w:r>
          </w:p>
        </w:tc>
        <w:tc>
          <w:tcPr>
            <w:tcW w:w="3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38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3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4"/>
          </w:tcPr>
          <w:p>
            <w:pPr>
              <w:jc w:val="center"/>
              <w:ind w:right="357"/>
              <w:spacing w:after="0"/>
              <w:rPr>
                <w:sz w:val="20"/>
                <w:szCs w:val="20"/>
                <w:color w:val="auto"/>
              </w:rPr>
            </w:pPr>
            <w:r>
              <w:rPr>
                <w:rFonts w:ascii="Arial" w:cs="Arial" w:eastAsia="Arial" w:hAnsi="Arial"/>
                <w:sz w:val="18"/>
                <w:szCs w:val="18"/>
                <w:b w:val="1"/>
                <w:bCs w:val="1"/>
                <w:color w:val="auto"/>
                <w:w w:val="91"/>
              </w:rPr>
              <w:t>(Unaudited)</w:t>
            </w:r>
          </w:p>
        </w:tc>
        <w:tc>
          <w:tcPr>
            <w:tcW w:w="3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(1) Share-based compensation:</w:t>
            </w: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480"/>
              <w:spacing w:after="0"/>
              <w:rPr>
                <w:sz w:val="20"/>
                <w:szCs w:val="20"/>
                <w:color w:val="auto"/>
              </w:rPr>
            </w:pPr>
            <w:r>
              <w:rPr>
                <w:rFonts w:ascii="Arial" w:cs="Arial" w:eastAsia="Arial" w:hAnsi="Arial"/>
                <w:sz w:val="18"/>
                <w:szCs w:val="18"/>
                <w:color w:val="auto"/>
              </w:rPr>
              <w:t>Cost of revenues</w:t>
            </w:r>
          </w:p>
        </w:tc>
        <w:tc>
          <w:tcPr>
            <w:tcW w:w="760" w:type="dxa"/>
            <w:vAlign w:val="bottom"/>
            <w:gridSpan w:val="2"/>
          </w:tcPr>
          <w:p>
            <w:pPr>
              <w:jc w:val="right"/>
              <w:ind w:right="603"/>
              <w:spacing w:after="0"/>
              <w:rPr>
                <w:sz w:val="20"/>
                <w:szCs w:val="20"/>
                <w:color w:val="auto"/>
              </w:rPr>
            </w:pPr>
            <w:r>
              <w:rPr>
                <w:rFonts w:ascii="Arial" w:cs="Arial" w:eastAsia="Arial" w:hAnsi="Arial"/>
                <w:sz w:val="15"/>
                <w:szCs w:val="15"/>
                <w:color w:val="auto"/>
                <w:w w:val="71"/>
              </w:rPr>
              <w:t>$</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60</w:t>
            </w:r>
          </w:p>
        </w:tc>
        <w:tc>
          <w:tcPr>
            <w:tcW w:w="1000" w:type="dxa"/>
            <w:vAlign w:val="bottom"/>
            <w:gridSpan w:val="2"/>
          </w:tcPr>
          <w:p>
            <w:pPr>
              <w:jc w:val="right"/>
              <w:ind w:right="637"/>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Research and development costs, net</w:t>
            </w: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169</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480"/>
              <w:spacing w:after="0"/>
              <w:rPr>
                <w:sz w:val="20"/>
                <w:szCs w:val="20"/>
                <w:color w:val="auto"/>
              </w:rPr>
            </w:pPr>
            <w:r>
              <w:rPr>
                <w:rFonts w:ascii="Arial" w:cs="Arial" w:eastAsia="Arial" w:hAnsi="Arial"/>
                <w:sz w:val="18"/>
                <w:szCs w:val="18"/>
                <w:color w:val="auto"/>
              </w:rPr>
              <w:t>Sales and marketing</w:t>
            </w: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283</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General and administrative</w:t>
            </w:r>
          </w:p>
        </w:tc>
        <w:tc>
          <w:tcPr>
            <w:tcW w:w="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760" w:type="dxa"/>
            <w:vAlign w:val="bottom"/>
            <w:gridSpan w:val="2"/>
          </w:tcPr>
          <w:p>
            <w:pPr>
              <w:jc w:val="right"/>
              <w:ind w:right="603"/>
              <w:spacing w:after="0"/>
              <w:rPr>
                <w:sz w:val="20"/>
                <w:szCs w:val="20"/>
                <w:color w:val="auto"/>
              </w:rPr>
            </w:pPr>
            <w:r>
              <w:rPr>
                <w:rFonts w:ascii="Arial" w:cs="Arial" w:eastAsia="Arial" w:hAnsi="Arial"/>
                <w:sz w:val="15"/>
                <w:szCs w:val="15"/>
                <w:color w:val="auto"/>
                <w:w w:val="71"/>
              </w:rPr>
              <w:t>$</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745</w:t>
            </w:r>
          </w:p>
        </w:tc>
        <w:tc>
          <w:tcPr>
            <w:tcW w:w="1000" w:type="dxa"/>
            <w:vAlign w:val="bottom"/>
            <w:gridSpan w:val="2"/>
          </w:tcPr>
          <w:p>
            <w:pPr>
              <w:jc w:val="right"/>
              <w:ind w:right="637"/>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704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8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40"/>
              <w:spacing w:after="0"/>
              <w:rPr>
                <w:sz w:val="20"/>
                <w:szCs w:val="20"/>
                <w:color w:val="auto"/>
              </w:rPr>
            </w:pPr>
            <w:r>
              <w:rPr>
                <w:rFonts w:ascii="Arial" w:cs="Arial" w:eastAsia="Arial" w:hAnsi="Arial"/>
                <w:sz w:val="18"/>
                <w:szCs w:val="18"/>
                <w:color w:val="auto"/>
              </w:rPr>
              <w:t>(2) Amortization of intangible assets</w:t>
            </w: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Cost of revenues</w:t>
            </w:r>
          </w:p>
        </w:tc>
        <w:tc>
          <w:tcPr>
            <w:tcW w:w="760" w:type="dxa"/>
            <w:vAlign w:val="bottom"/>
            <w:gridSpan w:val="2"/>
            <w:shd w:val="clear" w:color="auto" w:fill="CCEEFF"/>
          </w:tcPr>
          <w:p>
            <w:pPr>
              <w:jc w:val="right"/>
              <w:ind w:right="603"/>
              <w:spacing w:after="0"/>
              <w:rPr>
                <w:sz w:val="20"/>
                <w:szCs w:val="20"/>
                <w:color w:val="auto"/>
              </w:rPr>
            </w:pPr>
            <w:r>
              <w:rPr>
                <w:rFonts w:ascii="Arial" w:cs="Arial" w:eastAsia="Arial" w:hAnsi="Arial"/>
                <w:sz w:val="15"/>
                <w:szCs w:val="15"/>
                <w:color w:val="auto"/>
                <w:w w:val="71"/>
              </w:rPr>
              <w:t>$</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232</w:t>
            </w:r>
          </w:p>
        </w:tc>
        <w:tc>
          <w:tcPr>
            <w:tcW w:w="1000" w:type="dxa"/>
            <w:vAlign w:val="bottom"/>
            <w:gridSpan w:val="2"/>
            <w:shd w:val="clear" w:color="auto" w:fill="CCEEFF"/>
          </w:tcPr>
          <w:p>
            <w:pPr>
              <w:jc w:val="right"/>
              <w:ind w:right="637"/>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480"/>
              <w:spacing w:after="0"/>
              <w:rPr>
                <w:sz w:val="20"/>
                <w:szCs w:val="20"/>
                <w:color w:val="auto"/>
              </w:rPr>
            </w:pPr>
            <w:r>
              <w:rPr>
                <w:rFonts w:ascii="Arial" w:cs="Arial" w:eastAsia="Arial" w:hAnsi="Arial"/>
                <w:sz w:val="18"/>
                <w:szCs w:val="18"/>
                <w:color w:val="auto"/>
              </w:rPr>
              <w:t>Sales and marketing</w:t>
            </w: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188</w:t>
            </w: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ind w:right="603"/>
              <w:spacing w:after="0"/>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420</w:t>
            </w:r>
          </w:p>
        </w:tc>
        <w:tc>
          <w:tcPr>
            <w:tcW w:w="200" w:type="dxa"/>
            <w:vAlign w:val="bottom"/>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ind w:right="637"/>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(3) Expenses related to M&amp;A activities</w:t>
            </w: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480"/>
              <w:spacing w:after="0"/>
              <w:rPr>
                <w:sz w:val="20"/>
                <w:szCs w:val="20"/>
                <w:color w:val="auto"/>
              </w:rPr>
            </w:pPr>
            <w:r>
              <w:rPr>
                <w:rFonts w:ascii="Arial" w:cs="Arial" w:eastAsia="Arial" w:hAnsi="Arial"/>
                <w:sz w:val="18"/>
                <w:szCs w:val="18"/>
                <w:color w:val="auto"/>
              </w:rPr>
              <w:t>General and administrative</w:t>
            </w:r>
          </w:p>
        </w:tc>
        <w:tc>
          <w:tcPr>
            <w:tcW w:w="760" w:type="dxa"/>
            <w:vAlign w:val="bottom"/>
            <w:gridSpan w:val="2"/>
          </w:tcPr>
          <w:p>
            <w:pPr>
              <w:jc w:val="right"/>
              <w:ind w:right="603"/>
              <w:spacing w:after="0"/>
              <w:rPr>
                <w:sz w:val="20"/>
                <w:szCs w:val="20"/>
                <w:color w:val="auto"/>
              </w:rPr>
            </w:pPr>
            <w:r>
              <w:rPr>
                <w:rFonts w:ascii="Arial" w:cs="Arial" w:eastAsia="Arial" w:hAnsi="Arial"/>
                <w:sz w:val="15"/>
                <w:szCs w:val="15"/>
                <w:color w:val="auto"/>
                <w:w w:val="71"/>
              </w:rPr>
              <w:t>$</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637"/>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Research and development costs, net</w:t>
            </w:r>
          </w:p>
        </w:tc>
        <w:tc>
          <w:tcPr>
            <w:tcW w:w="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760" w:type="dxa"/>
            <w:vAlign w:val="bottom"/>
            <w:gridSpan w:val="2"/>
          </w:tcPr>
          <w:p>
            <w:pPr>
              <w:jc w:val="right"/>
              <w:ind w:right="603"/>
              <w:spacing w:after="0"/>
              <w:rPr>
                <w:sz w:val="20"/>
                <w:szCs w:val="20"/>
                <w:color w:val="auto"/>
              </w:rPr>
            </w:pPr>
            <w:r>
              <w:rPr>
                <w:rFonts w:ascii="Arial" w:cs="Arial" w:eastAsia="Arial" w:hAnsi="Arial"/>
                <w:sz w:val="15"/>
                <w:szCs w:val="15"/>
                <w:color w:val="auto"/>
                <w:w w:val="71"/>
              </w:rPr>
              <w:t>$</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295</w:t>
            </w:r>
          </w:p>
        </w:tc>
        <w:tc>
          <w:tcPr>
            <w:tcW w:w="1000" w:type="dxa"/>
            <w:vAlign w:val="bottom"/>
            <w:gridSpan w:val="2"/>
          </w:tcPr>
          <w:p>
            <w:pPr>
              <w:jc w:val="right"/>
              <w:ind w:right="637"/>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8800" w:type="dxa"/>
            <w:vAlign w:val="bottom"/>
            <w:tcBorders>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740" w:type="dxa"/>
            <w:vAlign w:val="bottom"/>
            <w:tcBorders>
              <w:top w:val="single" w:sz="8" w:color="auto"/>
              <w:bottom w:val="single" w:sz="8" w:color="auto"/>
            </w:tcBorders>
          </w:tcPr>
          <w:p>
            <w:pPr>
              <w:spacing w:after="0"/>
              <w:rPr>
                <w:sz w:val="24"/>
                <w:szCs w:val="24"/>
                <w:color w:val="auto"/>
              </w:rPr>
            </w:pPr>
          </w:p>
        </w:tc>
        <w:tc>
          <w:tcPr>
            <w:tcW w:w="38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top w:val="single" w:sz="8" w:color="auto"/>
              <w:bottom w:val="single" w:sz="8" w:color="auto"/>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4"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TABLE - 3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ALLOT LTD.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ITS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March 31,</w:t>
            </w:r>
          </w:p>
        </w:tc>
        <w:tc>
          <w:tcPr>
            <w:tcW w:w="200" w:type="dxa"/>
            <w:vAlign w:val="bottom"/>
          </w:tcPr>
          <w:p>
            <w:pPr>
              <w:spacing w:after="0"/>
              <w:rPr>
                <w:sz w:val="18"/>
                <w:szCs w:val="18"/>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2019</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3"/>
              </w:rPr>
              <w:t>(Unaudited)</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3"/>
              </w:rPr>
              <w:t>(Audited)</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jc w:val="center"/>
              <w:ind w:right="50"/>
              <w:spacing w:after="0"/>
              <w:rPr>
                <w:sz w:val="20"/>
                <w:szCs w:val="20"/>
                <w:color w:val="auto"/>
              </w:rPr>
            </w:pPr>
            <w:r>
              <w:rPr>
                <w:rFonts w:ascii="Arial" w:cs="Arial" w:eastAsia="Arial" w:hAnsi="Arial"/>
                <w:sz w:val="18"/>
                <w:szCs w:val="18"/>
                <w:b w:val="1"/>
                <w:bCs w:val="1"/>
                <w:color w:val="auto"/>
                <w:w w:val="91"/>
              </w:rPr>
              <w:t>ASSETS</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17,430</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Short term deposits</w:t>
            </w:r>
          </w:p>
        </w:tc>
        <w:tc>
          <w:tcPr>
            <w:tcW w:w="1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18,557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22,543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Restricted deposit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Marketable securities</w:t>
            </w:r>
          </w:p>
        </w:tc>
        <w:tc>
          <w:tcPr>
            <w:tcW w:w="1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64,713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64,290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Trade receivables, net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28,686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Other receivables and prepaid expenses</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5,449</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3,647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Inventories</w:t>
            </w: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13,255</w:t>
            </w:r>
          </w:p>
        </w:tc>
        <w:tc>
          <w:tcPr>
            <w:tcW w:w="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11,345</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Total current assets</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148,638</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144,719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LONG-TERM ASSETS:</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Restricted deposit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Severance pay fund</w:t>
            </w:r>
          </w:p>
        </w:tc>
        <w:tc>
          <w:tcPr>
            <w:tcW w:w="1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341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right-of-use assets</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7,137</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Deferred taxes</w:t>
            </w:r>
          </w:p>
        </w:tc>
        <w:tc>
          <w:tcPr>
            <w:tcW w:w="1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314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assets</w:t>
            </w: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Total long-term assets</w:t>
            </w: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8,582</w:t>
            </w:r>
          </w:p>
        </w:tc>
        <w:tc>
          <w:tcPr>
            <w:tcW w:w="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8820" w:type="dxa"/>
            <w:vAlign w:val="bottom"/>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6,362</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6,249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GOODWILL AND INTANGIBLE ASSETS, NET</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36,223</w:t>
            </w:r>
          </w:p>
        </w:tc>
        <w:tc>
          <w:tcPr>
            <w:tcW w:w="20" w:type="dxa"/>
            <w:vAlign w:val="bottom"/>
            <w:tcBorders>
              <w:top w:val="single" w:sz="8" w:color="auto"/>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37,393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gridSpan w:val="2"/>
          </w:tcPr>
          <w:p>
            <w:pPr>
              <w:spacing w:after="0"/>
              <w:rPr>
                <w:sz w:val="18"/>
                <w:szCs w:val="18"/>
                <w:color w:val="auto"/>
              </w:rPr>
            </w:pPr>
          </w:p>
        </w:tc>
        <w:tc>
          <w:tcPr>
            <w:tcW w:w="1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199,805</w:t>
            </w:r>
          </w:p>
        </w:tc>
        <w:tc>
          <w:tcPr>
            <w:tcW w:w="20" w:type="dxa"/>
            <w:vAlign w:val="bottom"/>
            <w:shd w:val="clear" w:color="auto" w:fill="CCEEFF"/>
          </w:tcPr>
          <w:p>
            <w:pPr>
              <w:spacing w:after="0"/>
              <w:rPr>
                <w:sz w:val="22"/>
                <w:szCs w:val="22"/>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189,844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jc w:val="center"/>
              <w:ind w:right="50"/>
              <w:spacing w:after="0"/>
              <w:rPr>
                <w:sz w:val="20"/>
                <w:szCs w:val="20"/>
                <w:color w:val="auto"/>
              </w:rPr>
            </w:pPr>
            <w:r>
              <w:rPr>
                <w:rFonts w:ascii="Arial" w:cs="Arial" w:eastAsia="Arial" w:hAnsi="Arial"/>
                <w:sz w:val="18"/>
                <w:szCs w:val="18"/>
                <w:b w:val="1"/>
                <w:bCs w:val="1"/>
                <w:color w:val="auto"/>
              </w:rPr>
              <w:t>LIABILITIES AND SHAREHOLDERS' EQUITY</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Trade payables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10,370</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Deferred revenues</w:t>
            </w:r>
          </w:p>
        </w:tc>
        <w:tc>
          <w:tcPr>
            <w:tcW w:w="1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13,299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13,855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Short-term operating lease liabilities</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2,460</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Other payables and accrued expenses</w:t>
            </w:r>
          </w:p>
        </w:tc>
        <w:tc>
          <w:tcPr>
            <w:tcW w:w="10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23,805</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21,052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10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49,934</w:t>
            </w:r>
          </w:p>
        </w:tc>
        <w:tc>
          <w:tcPr>
            <w:tcW w:w="200" w:type="dxa"/>
            <w:vAlign w:val="bottom"/>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42,720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LONG-TERM LIABILITIES:</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Deferred revenues</w:t>
            </w:r>
          </w:p>
        </w:tc>
        <w:tc>
          <w:tcPr>
            <w:tcW w:w="1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4,211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4,247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Long-term operating lease liabilities</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4,471</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Accrued severance pay</w:t>
            </w:r>
          </w:p>
        </w:tc>
        <w:tc>
          <w:tcPr>
            <w:tcW w:w="1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737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806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long term liabilities</w:t>
            </w: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5,763</w:t>
            </w:r>
          </w:p>
        </w:tc>
        <w:tc>
          <w:tcPr>
            <w:tcW w:w="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6,168</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Total long-term liabilities</w:t>
            </w: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15,182</w:t>
            </w: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8820" w:type="dxa"/>
            <w:vAlign w:val="bottom"/>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SHAREHOLDERS' EQUITY</w:t>
            </w: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134,689</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135,903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Total liabilities and shareholders' equity</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199,805</w:t>
            </w:r>
          </w:p>
        </w:tc>
        <w:tc>
          <w:tcPr>
            <w:tcW w:w="2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189,844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8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TABLE - 4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ALLOT LTD.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ITS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00" w:type="dxa"/>
            <w:vAlign w:val="bottom"/>
            <w:gridSpan w:val="7"/>
          </w:tcPr>
          <w:p>
            <w:pPr>
              <w:jc w:val="right"/>
              <w:ind w:right="54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00" w:type="dxa"/>
            <w:vAlign w:val="bottom"/>
            <w:gridSpan w:val="7"/>
          </w:tcPr>
          <w:p>
            <w:pPr>
              <w:jc w:val="right"/>
              <w:ind w:right="960"/>
              <w:spacing w:after="0"/>
              <w:rPr>
                <w:sz w:val="20"/>
                <w:szCs w:val="20"/>
                <w:color w:val="auto"/>
              </w:rPr>
            </w:pPr>
            <w:r>
              <w:rPr>
                <w:rFonts w:ascii="Arial" w:cs="Arial" w:eastAsia="Arial" w:hAnsi="Arial"/>
                <w:sz w:val="18"/>
                <w:szCs w:val="18"/>
                <w:b w:val="1"/>
                <w:bCs w:val="1"/>
                <w:color w:val="auto"/>
              </w:rPr>
              <w:t>March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1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1"/>
              </w:rPr>
              <w:t>(Unaudited)</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89"/>
              </w:rPr>
              <w:t>(Unaudited)</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80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Cash flows from operating activities:</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6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gridSpan w:val="2"/>
          </w:tcPr>
          <w:p>
            <w:pPr>
              <w:spacing w:after="0"/>
              <w:rPr>
                <w:sz w:val="18"/>
                <w:szCs w:val="18"/>
                <w:color w:val="auto"/>
              </w:rPr>
            </w:pPr>
          </w:p>
        </w:tc>
        <w:tc>
          <w:tcPr>
            <w:tcW w:w="1140" w:type="dxa"/>
            <w:vAlign w:val="bottom"/>
            <w:tcBorders>
              <w:top w:val="single" w:sz="8" w:color="CCEEFF"/>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(3,333)</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3"/>
          </w:tcPr>
          <w:p>
            <w:pPr>
              <w:spacing w:after="0"/>
              <w:rPr>
                <w:sz w:val="20"/>
                <w:szCs w:val="20"/>
                <w:color w:val="auto"/>
              </w:rPr>
            </w:pPr>
            <w:r>
              <w:rPr>
                <w:rFonts w:ascii="Arial" w:cs="Arial" w:eastAsia="Arial" w:hAnsi="Arial"/>
                <w:sz w:val="18"/>
                <w:szCs w:val="18"/>
                <w:color w:val="auto"/>
              </w:rPr>
              <w:t>Adjustments to reconcile net income to net cash used in operating activities:</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Depreciation</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3"/>
          </w:tcPr>
          <w:p>
            <w:pPr>
              <w:spacing w:after="0"/>
              <w:rPr>
                <w:sz w:val="20"/>
                <w:szCs w:val="20"/>
                <w:color w:val="auto"/>
              </w:rPr>
            </w:pPr>
            <w:r>
              <w:rPr>
                <w:rFonts w:ascii="Arial" w:cs="Arial" w:eastAsia="Arial" w:hAnsi="Arial"/>
                <w:sz w:val="18"/>
                <w:szCs w:val="18"/>
                <w:color w:val="auto"/>
              </w:rPr>
              <w:t>Stock-based compensation related to options granted to employees</w:t>
            </w:r>
          </w:p>
        </w:tc>
        <w:tc>
          <w:tcPr>
            <w:tcW w:w="1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745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3"/>
          </w:tcPr>
          <w:p>
            <w:pPr>
              <w:spacing w:after="0"/>
              <w:rPr>
                <w:sz w:val="20"/>
                <w:szCs w:val="20"/>
                <w:color w:val="auto"/>
              </w:rPr>
            </w:pPr>
            <w:r>
              <w:rPr>
                <w:rFonts w:ascii="Arial" w:cs="Arial" w:eastAsia="Arial" w:hAnsi="Arial"/>
                <w:sz w:val="18"/>
                <w:szCs w:val="18"/>
                <w:color w:val="auto"/>
              </w:rPr>
              <w:t>Capital loss</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Decrease (Increase) in accrued severance pay, net</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800" w:type="dxa"/>
            <w:vAlign w:val="bottom"/>
            <w:gridSpan w:val="3"/>
          </w:tcPr>
          <w:p>
            <w:pPr>
              <w:spacing w:after="0"/>
              <w:rPr>
                <w:sz w:val="20"/>
                <w:szCs w:val="20"/>
                <w:color w:val="auto"/>
              </w:rPr>
            </w:pPr>
            <w:r>
              <w:rPr>
                <w:rFonts w:ascii="Arial" w:cs="Arial" w:eastAsia="Arial" w:hAnsi="Arial"/>
                <w:sz w:val="18"/>
                <w:szCs w:val="18"/>
                <w:color w:val="auto"/>
              </w:rPr>
              <w:t>Decrease in other assets</w:t>
            </w:r>
          </w:p>
        </w:tc>
        <w:tc>
          <w:tcPr>
            <w:tcW w:w="1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67</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Decrease in accrued interest and amortization of premium on marketable securities</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3"/>
          </w:tcPr>
          <w:p>
            <w:pPr>
              <w:spacing w:after="0"/>
              <w:rPr>
                <w:sz w:val="20"/>
                <w:szCs w:val="20"/>
                <w:color w:val="auto"/>
              </w:rPr>
            </w:pPr>
            <w:r>
              <w:rPr>
                <w:rFonts w:ascii="Arial" w:cs="Arial" w:eastAsia="Arial" w:hAnsi="Arial"/>
                <w:sz w:val="18"/>
                <w:szCs w:val="18"/>
                <w:color w:val="auto"/>
              </w:rPr>
              <w:t>Changes in operating leases, net</w:t>
            </w:r>
          </w:p>
        </w:tc>
        <w:tc>
          <w:tcPr>
            <w:tcW w:w="100" w:type="dxa"/>
            <w:vAlign w:val="bottom"/>
          </w:tcPr>
          <w:p>
            <w:pPr>
              <w:spacing w:after="0"/>
              <w:rPr>
                <w:sz w:val="18"/>
                <w:szCs w:val="18"/>
                <w:color w:val="auto"/>
              </w:rPr>
            </w:pPr>
          </w:p>
        </w:tc>
        <w:tc>
          <w:tcPr>
            <w:tcW w:w="1180" w:type="dxa"/>
            <w:vAlign w:val="bottom"/>
            <w:gridSpan w:val="3"/>
          </w:tcPr>
          <w:p>
            <w:pPr>
              <w:jc w:val="right"/>
              <w:ind w:right="80"/>
              <w:spacing w:after="0"/>
              <w:rPr>
                <w:sz w:val="20"/>
                <w:szCs w:val="20"/>
                <w:color w:val="auto"/>
              </w:rPr>
            </w:pPr>
            <w:r>
              <w:rPr>
                <w:rFonts w:ascii="Arial" w:cs="Arial" w:eastAsia="Arial" w:hAnsi="Arial"/>
                <w:sz w:val="18"/>
                <w:szCs w:val="18"/>
                <w:color w:val="auto"/>
              </w:rPr>
              <w:t>(206)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Decrease (Increase) in trade receivables</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(2,593)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3"/>
          </w:tcPr>
          <w:p>
            <w:pPr>
              <w:spacing w:after="0"/>
              <w:rPr>
                <w:sz w:val="20"/>
                <w:szCs w:val="20"/>
                <w:color w:val="auto"/>
              </w:rPr>
            </w:pPr>
            <w:r>
              <w:rPr>
                <w:rFonts w:ascii="Arial" w:cs="Arial" w:eastAsia="Arial" w:hAnsi="Arial"/>
                <w:sz w:val="18"/>
                <w:szCs w:val="18"/>
                <w:color w:val="auto"/>
              </w:rPr>
              <w:t>Increase in other receivables and prepaid expenses</w:t>
            </w:r>
          </w:p>
        </w:tc>
        <w:tc>
          <w:tcPr>
            <w:tcW w:w="100" w:type="dxa"/>
            <w:vAlign w:val="bottom"/>
          </w:tcPr>
          <w:p>
            <w:pPr>
              <w:spacing w:after="0"/>
              <w:rPr>
                <w:sz w:val="18"/>
                <w:szCs w:val="18"/>
                <w:color w:val="auto"/>
              </w:rPr>
            </w:pPr>
          </w:p>
        </w:tc>
        <w:tc>
          <w:tcPr>
            <w:tcW w:w="1180" w:type="dxa"/>
            <w:vAlign w:val="bottom"/>
            <w:gridSpan w:val="3"/>
          </w:tcPr>
          <w:p>
            <w:pPr>
              <w:jc w:val="right"/>
              <w:ind w:right="80"/>
              <w:spacing w:after="0"/>
              <w:rPr>
                <w:sz w:val="20"/>
                <w:szCs w:val="20"/>
                <w:color w:val="auto"/>
              </w:rPr>
            </w:pPr>
            <w:r>
              <w:rPr>
                <w:rFonts w:ascii="Arial" w:cs="Arial" w:eastAsia="Arial" w:hAnsi="Arial"/>
                <w:sz w:val="18"/>
                <w:szCs w:val="18"/>
                <w:color w:val="auto"/>
              </w:rPr>
              <w:t>(1,147)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(1,879)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Increase in inventories</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(1,910)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3"/>
          </w:tcPr>
          <w:p>
            <w:pPr>
              <w:spacing w:after="0"/>
              <w:rPr>
                <w:sz w:val="20"/>
                <w:szCs w:val="20"/>
                <w:color w:val="auto"/>
              </w:rPr>
            </w:pPr>
            <w:r>
              <w:rPr>
                <w:rFonts w:ascii="Arial" w:cs="Arial" w:eastAsia="Arial" w:hAnsi="Arial"/>
                <w:sz w:val="18"/>
                <w:szCs w:val="18"/>
                <w:color w:val="auto"/>
              </w:rPr>
              <w:t>Decrease (Increase) in long-term deferred taxes, net</w:t>
            </w:r>
          </w:p>
        </w:tc>
        <w:tc>
          <w:tcPr>
            <w:tcW w:w="100" w:type="dxa"/>
            <w:vAlign w:val="bottom"/>
          </w:tcPr>
          <w:p>
            <w:pPr>
              <w:spacing w:after="0"/>
              <w:rPr>
                <w:sz w:val="18"/>
                <w:szCs w:val="18"/>
                <w:color w:val="auto"/>
              </w:rPr>
            </w:pPr>
          </w:p>
        </w:tc>
        <w:tc>
          <w:tcPr>
            <w:tcW w:w="1180" w:type="dxa"/>
            <w:vAlign w:val="bottom"/>
            <w:gridSpan w:val="3"/>
          </w:tcPr>
          <w:p>
            <w:pPr>
              <w:jc w:val="right"/>
              <w:ind w:right="80"/>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Increase in trade payables</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2,557</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3"/>
          </w:tcPr>
          <w:p>
            <w:pPr>
              <w:spacing w:after="0"/>
              <w:rPr>
                <w:sz w:val="20"/>
                <w:szCs w:val="20"/>
                <w:color w:val="auto"/>
              </w:rPr>
            </w:pPr>
            <w:r>
              <w:rPr>
                <w:rFonts w:ascii="Arial" w:cs="Arial" w:eastAsia="Arial" w:hAnsi="Arial"/>
                <w:sz w:val="18"/>
                <w:szCs w:val="18"/>
                <w:color w:val="auto"/>
              </w:rPr>
              <w:t>Increase (Decrease) in employees and payroll accruals</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1,023</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(499)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Increase (Decrease) in deferred revenues</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(592)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3"/>
          </w:tcPr>
          <w:p>
            <w:pPr>
              <w:spacing w:after="0"/>
              <w:rPr>
                <w:sz w:val="20"/>
                <w:szCs w:val="20"/>
                <w:color w:val="auto"/>
              </w:rPr>
            </w:pPr>
            <w:r>
              <w:rPr>
                <w:rFonts w:ascii="Arial" w:cs="Arial" w:eastAsia="Arial" w:hAnsi="Arial"/>
                <w:sz w:val="18"/>
                <w:szCs w:val="18"/>
                <w:color w:val="auto"/>
              </w:rPr>
              <w:t>Increase in other payables and accrued expenses</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1,893</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486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(2,481)</w:t>
            </w:r>
          </w:p>
        </w:tc>
        <w:tc>
          <w:tcPr>
            <w:tcW w:w="20" w:type="dxa"/>
            <w:vAlign w:val="bottom"/>
            <w:tcBorders>
              <w:top w:val="single" w:sz="8" w:color="auto"/>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(1,078)</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264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92"/>
              </w:rPr>
              <w:t>Cash flows from investing activities:</w:t>
            </w:r>
          </w:p>
        </w:tc>
        <w:tc>
          <w:tcPr>
            <w:tcW w:w="6160" w:type="dxa"/>
            <w:vAlign w:val="bottom"/>
            <w:tcBorders>
              <w:bottom w:val="single" w:sz="8" w:color="CCEEFF"/>
            </w:tcBorders>
            <w:gridSpan w:val="2"/>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3"/>
          </w:tcPr>
          <w:p>
            <w:pPr>
              <w:spacing w:after="0"/>
              <w:rPr>
                <w:sz w:val="20"/>
                <w:szCs w:val="20"/>
                <w:color w:val="auto"/>
              </w:rPr>
            </w:pPr>
            <w:r>
              <w:rPr>
                <w:rFonts w:ascii="Arial" w:cs="Arial" w:eastAsia="Arial" w:hAnsi="Arial"/>
                <w:sz w:val="18"/>
                <w:szCs w:val="18"/>
                <w:color w:val="auto"/>
              </w:rPr>
              <w:t>Decrease (Increase) in restricted deposit</w:t>
            </w:r>
          </w:p>
        </w:tc>
        <w:tc>
          <w:tcPr>
            <w:tcW w:w="100" w:type="dxa"/>
            <w:vAlign w:val="bottom"/>
          </w:tcPr>
          <w:p>
            <w:pPr>
              <w:spacing w:after="0"/>
              <w:rPr>
                <w:sz w:val="18"/>
                <w:szCs w:val="18"/>
                <w:color w:val="auto"/>
              </w:rPr>
            </w:pPr>
          </w:p>
        </w:tc>
        <w:tc>
          <w:tcPr>
            <w:tcW w:w="1180" w:type="dxa"/>
            <w:vAlign w:val="bottom"/>
            <w:gridSpan w:val="3"/>
          </w:tcPr>
          <w:p>
            <w:pPr>
              <w:jc w:val="right"/>
              <w:ind w:right="80"/>
              <w:spacing w:after="0"/>
              <w:rPr>
                <w:sz w:val="20"/>
                <w:szCs w:val="20"/>
                <w:color w:val="auto"/>
              </w:rPr>
            </w:pPr>
            <w:r>
              <w:rPr>
                <w:rFonts w:ascii="Arial" w:cs="Arial" w:eastAsia="Arial" w:hAnsi="Arial"/>
                <w:sz w:val="18"/>
                <w:szCs w:val="18"/>
                <w:color w:val="auto"/>
              </w:rPr>
              <w:t>(83)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Redemption of short-term deposits</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3,986</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3"/>
          </w:tcPr>
          <w:p>
            <w:pPr>
              <w:spacing w:after="0"/>
              <w:rPr>
                <w:sz w:val="20"/>
                <w:szCs w:val="20"/>
                <w:color w:val="auto"/>
              </w:rPr>
            </w:pPr>
            <w:r>
              <w:rPr>
                <w:rFonts w:ascii="Arial" w:cs="Arial" w:eastAsia="Arial" w:hAnsi="Arial"/>
                <w:sz w:val="18"/>
                <w:szCs w:val="18"/>
                <w:color w:val="auto"/>
              </w:rPr>
              <w:t>Purchase of property and equipment</w:t>
            </w:r>
          </w:p>
        </w:tc>
        <w:tc>
          <w:tcPr>
            <w:tcW w:w="100" w:type="dxa"/>
            <w:vAlign w:val="bottom"/>
          </w:tcPr>
          <w:p>
            <w:pPr>
              <w:spacing w:after="0"/>
              <w:rPr>
                <w:sz w:val="18"/>
                <w:szCs w:val="18"/>
                <w:color w:val="auto"/>
              </w:rPr>
            </w:pPr>
          </w:p>
        </w:tc>
        <w:tc>
          <w:tcPr>
            <w:tcW w:w="1180" w:type="dxa"/>
            <w:vAlign w:val="bottom"/>
            <w:gridSpan w:val="3"/>
          </w:tcPr>
          <w:p>
            <w:pPr>
              <w:jc w:val="right"/>
              <w:ind w:right="80"/>
              <w:spacing w:after="0"/>
              <w:rPr>
                <w:sz w:val="20"/>
                <w:szCs w:val="20"/>
                <w:color w:val="auto"/>
              </w:rPr>
            </w:pPr>
            <w:r>
              <w:rPr>
                <w:rFonts w:ascii="Arial" w:cs="Arial" w:eastAsia="Arial" w:hAnsi="Arial"/>
                <w:sz w:val="18"/>
                <w:szCs w:val="18"/>
                <w:color w:val="auto"/>
              </w:rPr>
              <w:t>(729)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(694)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Investment in marketable securities</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(11,584)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3"/>
          </w:tcPr>
          <w:p>
            <w:pPr>
              <w:spacing w:after="0"/>
              <w:rPr>
                <w:sz w:val="20"/>
                <w:szCs w:val="20"/>
                <w:color w:val="auto"/>
              </w:rPr>
            </w:pPr>
            <w:r>
              <w:rPr>
                <w:rFonts w:ascii="Arial" w:cs="Arial" w:eastAsia="Arial" w:hAnsi="Arial"/>
                <w:sz w:val="18"/>
                <w:szCs w:val="18"/>
                <w:color w:val="auto"/>
              </w:rPr>
              <w:t>Proceeds from redemption or sale of marketable securities</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11,379</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4,991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Acquisitions</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(3,048)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top w:val="single" w:sz="8" w:color="CCEEFF"/>
            </w:tcBorders>
            <w:gridSpan w:val="3"/>
          </w:tcPr>
          <w:p>
            <w:pPr>
              <w:spacing w:after="0"/>
              <w:rPr>
                <w:sz w:val="20"/>
                <w:szCs w:val="20"/>
                <w:color w:val="auto"/>
              </w:rPr>
            </w:pPr>
            <w:r>
              <w:rPr>
                <w:rFonts w:ascii="Arial" w:cs="Arial" w:eastAsia="Arial" w:hAnsi="Arial"/>
                <w:sz w:val="18"/>
                <w:szCs w:val="18"/>
                <w:color w:val="auto"/>
              </w:rPr>
              <w:t>Net cash provided by investing activities</w:t>
            </w:r>
          </w:p>
        </w:tc>
        <w:tc>
          <w:tcPr>
            <w:tcW w:w="1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2,969</w:t>
            </w:r>
          </w:p>
        </w:tc>
        <w:tc>
          <w:tcPr>
            <w:tcW w:w="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8,488</w:t>
            </w: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8800" w:type="dxa"/>
            <w:vAlign w:val="bottom"/>
            <w:gridSpan w:val="3"/>
          </w:tcPr>
          <w:p>
            <w:pPr>
              <w:spacing w:after="0" w:line="176" w:lineRule="exact"/>
              <w:rPr>
                <w:sz w:val="20"/>
                <w:szCs w:val="20"/>
                <w:color w:val="auto"/>
              </w:rPr>
            </w:pPr>
            <w:r>
              <w:rPr>
                <w:rFonts w:ascii="Arial" w:cs="Arial" w:eastAsia="Arial" w:hAnsi="Arial"/>
                <w:sz w:val="18"/>
                <w:szCs w:val="18"/>
                <w:color w:val="auto"/>
              </w:rPr>
              <w:t>Cash flows from financing activities:</w:t>
            </w: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6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800" w:type="dxa"/>
            <w:vAlign w:val="bottom"/>
            <w:gridSpan w:val="3"/>
          </w:tcPr>
          <w:p>
            <w:pPr>
              <w:spacing w:after="0"/>
              <w:rPr>
                <w:sz w:val="20"/>
                <w:szCs w:val="20"/>
                <w:color w:val="auto"/>
              </w:rPr>
            </w:pPr>
            <w:r>
              <w:rPr>
                <w:rFonts w:ascii="Arial" w:cs="Arial" w:eastAsia="Arial" w:hAnsi="Arial"/>
                <w:sz w:val="18"/>
                <w:szCs w:val="18"/>
                <w:color w:val="auto"/>
              </w:rPr>
              <w:t>Exercise of employee stock options</w:t>
            </w:r>
          </w:p>
        </w:tc>
        <w:tc>
          <w:tcPr>
            <w:tcW w:w="10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606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w:t>
            </w:r>
          </w:p>
        </w:tc>
        <w:tc>
          <w:tcPr>
            <w:tcW w:w="20" w:type="dxa"/>
            <w:vAlign w:val="bottom"/>
            <w:tcBorders>
              <w:top w:val="single" w:sz="8" w:color="auto"/>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Increase in cash and cash equivalents</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7,493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3"/>
          </w:tcPr>
          <w:p>
            <w:pPr>
              <w:spacing w:after="0"/>
              <w:rPr>
                <w:sz w:val="20"/>
                <w:szCs w:val="20"/>
                <w:color w:val="auto"/>
              </w:rPr>
            </w:pPr>
            <w:r>
              <w:rPr>
                <w:rFonts w:ascii="Arial" w:cs="Arial" w:eastAsia="Arial" w:hAnsi="Arial"/>
                <w:sz w:val="18"/>
                <w:szCs w:val="18"/>
                <w:color w:val="auto"/>
              </w:rPr>
              <w:t>Cash and cash equivalents at the beginning of the period</w:t>
            </w: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16,336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3"/>
          </w:tcPr>
          <w:p>
            <w:pPr>
              <w:spacing w:after="0"/>
              <w:rPr>
                <w:sz w:val="20"/>
                <w:szCs w:val="20"/>
                <w:color w:val="auto"/>
              </w:rPr>
            </w:pPr>
            <w:r>
              <w:rPr>
                <w:rFonts w:ascii="Arial" w:cs="Arial" w:eastAsia="Arial" w:hAnsi="Arial"/>
                <w:sz w:val="18"/>
                <w:szCs w:val="18"/>
                <w:color w:val="auto"/>
              </w:rPr>
              <w:t>Cash and cash equivalents at the end of the period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17,430</w:t>
            </w:r>
          </w:p>
        </w:tc>
        <w:tc>
          <w:tcPr>
            <w:tcW w:w="120" w:type="dxa"/>
            <w:vAlign w:val="bottom"/>
          </w:tcPr>
          <w:p>
            <w:pPr>
              <w:spacing w:after="0"/>
              <w:rPr>
                <w:sz w:val="18"/>
                <w:szCs w:val="18"/>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22,835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45"/>
        </w:trPr>
        <w:tc>
          <w:tcPr>
            <w:tcW w:w="20" w:type="dxa"/>
            <w:vAlign w:val="bottom"/>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6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2019-12-02T19:47:02Z</dcterms:created>
  <dcterms:modified xsi:type="dcterms:W3CDTF">2019-12-02T19:47:02Z</dcterms:modified>
</cp:coreProperties>
</file>