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330200</wp:posOffset>
            </wp:positionH>
            <wp:positionV relativeFrom="page">
              <wp:posOffset>67945</wp:posOffset>
            </wp:positionV>
            <wp:extent cx="70866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34290"/>
                    </a:xfrm>
                    <a:prstGeom prst="rect">
                      <a:avLst/>
                    </a:prstGeom>
                    <a:noFill/>
                  </pic:spPr>
                </pic:pic>
              </a:graphicData>
            </a:graphic>
          </wp:anchor>
        </w:drawing>
        <w:drawing>
          <wp:anchor simplePos="0" relativeHeight="251657728" behindDoc="1" locked="0" layoutInCell="0" allowOverlap="1">
            <wp:simplePos x="0" y="0"/>
            <wp:positionH relativeFrom="page">
              <wp:posOffset>330200</wp:posOffset>
            </wp:positionH>
            <wp:positionV relativeFrom="page">
              <wp:posOffset>187325</wp:posOffset>
            </wp:positionV>
            <wp:extent cx="7086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6-K</w:t>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February 2019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001-33129</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ALLOT LTD.</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(Translation of registrant’s name into English)</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 Hanagar Street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Neve Ne'eman Industrial Zone B</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Hod-Hasharon 45240</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Israel</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0" w:lineRule="exact"/>
        <w:rPr>
          <w:sz w:val="24"/>
          <w:szCs w:val="24"/>
          <w:color w:val="auto"/>
        </w:rPr>
      </w:pPr>
    </w:p>
    <w:p>
      <w:pPr>
        <w:jc w:val="center"/>
        <w:ind w:right="-3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w:t>
      </w: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w:t>
      </w:r>
    </w:p>
    <w:p>
      <w:pPr>
        <w:spacing w:after="0" w:line="276"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92" w:lineRule="exact"/>
        <w:rPr>
          <w:sz w:val="24"/>
          <w:szCs w:val="24"/>
          <w:color w:val="auto"/>
        </w:rPr>
      </w:pPr>
    </w:p>
    <w:p>
      <w:pPr>
        <w:jc w:val="center"/>
        <w:ind w:right="-19"/>
        <w:spacing w:after="0" w:line="207" w:lineRule="exact"/>
        <w:tabs>
          <w:tab w:leader="none" w:pos="4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70866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643" w:right="560" w:bottom="1440" w:gutter="0" w:footer="0" w:header="0"/>
        </w:sectPr>
      </w:pPr>
    </w:p>
    <w:bookmarkStart w:id="1" w:name="page2"/>
    <w:bookmarkEnd w:id="1"/>
    <w:p>
      <w:pPr>
        <w:jc w:val="center"/>
        <w:ind w:right="-339"/>
        <w:spacing w:after="0"/>
        <w:rPr>
          <w:sz w:val="20"/>
          <w:szCs w:val="20"/>
          <w:color w:val="auto"/>
        </w:rPr>
      </w:pPr>
      <w:r>
        <w:rPr>
          <w:rFonts w:ascii="Arial" w:cs="Arial" w:eastAsia="Arial" w:hAnsi="Arial"/>
          <w:sz w:val="18"/>
          <w:szCs w:val="18"/>
          <w:b w:val="1"/>
          <w:bCs w:val="1"/>
          <w:color w:val="auto"/>
        </w:rPr>
        <w:t>EXPLANATORY NOTE</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February 5</w:t>
      </w:r>
      <w:r>
        <w:rPr>
          <w:rFonts w:ascii="Arial" w:cs="Arial" w:eastAsia="Arial" w:hAnsi="Arial"/>
          <w:sz w:val="29"/>
          <w:szCs w:val="29"/>
          <w:color w:val="auto"/>
          <w:vertAlign w:val="superscript"/>
        </w:rPr>
        <w:t>th</w:t>
      </w:r>
      <w:r>
        <w:rPr>
          <w:rFonts w:ascii="Arial" w:cs="Arial" w:eastAsia="Arial" w:hAnsi="Arial"/>
          <w:sz w:val="18"/>
          <w:szCs w:val="18"/>
          <w:color w:val="auto"/>
        </w:rPr>
        <w:t>, 2019, Allot Ltd. issued a press release announcing the Fourth Quarter 2018 Financial Results.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copy of the press release entitled “Allot Announces Fourth Quarter 2018 Financial Results” is attached to this Form 6-K as Exhibit 99.1.</w:t>
      </w: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80" w:lineRule="exact"/>
        <w:rPr>
          <w:sz w:val="20"/>
          <w:szCs w:val="20"/>
          <w:color w:val="auto"/>
        </w:rPr>
      </w:pPr>
    </w:p>
    <w:p>
      <w:pPr>
        <w:ind w:firstLine="644"/>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Allot Ltd.</w:t>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Alberto Sessa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-10795</wp:posOffset>
            </wp:positionV>
            <wp:extent cx="79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Alberto Sessa</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w:t>
      </w:r>
      <w:r>
        <w:rPr>
          <w:rFonts w:ascii="Arial" w:cs="Arial" w:eastAsia="Arial" w:hAnsi="Arial"/>
          <w:sz w:val="29"/>
          <w:szCs w:val="29"/>
          <w:color w:val="auto"/>
          <w:vertAlign w:val="superscript"/>
        </w:rPr>
        <w:t>th</w:t>
      </w: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086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860"/>
          </w:cols>
          <w:pgMar w:left="520" w:top="0" w:right="86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has been filed as part of this Form 6-K:</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spacing w:after="0"/>
              <w:rPr>
                <w:sz w:val="20"/>
                <w:szCs w:val="20"/>
                <w:color w:val="auto"/>
              </w:rPr>
            </w:pPr>
            <w:r>
              <w:rPr>
                <w:rFonts w:ascii="Arial" w:cs="Arial" w:eastAsia="Arial" w:hAnsi="Arial"/>
                <w:sz w:val="18"/>
                <w:szCs w:val="18"/>
                <w:color w:val="auto"/>
                <w:w w:val="92"/>
              </w:rPr>
              <w:t>Exhibit Number</w:t>
            </w:r>
          </w:p>
        </w:tc>
        <w:tc>
          <w:tcPr>
            <w:tcW w:w="620" w:type="dxa"/>
            <w:vAlign w:val="bottom"/>
          </w:tcPr>
          <w:p>
            <w:pPr>
              <w:spacing w:after="0"/>
              <w:rPr>
                <w:sz w:val="17"/>
                <w:szCs w:val="17"/>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463"/>
        </w:trPr>
        <w:tc>
          <w:tcPr>
            <w:tcW w:w="116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620" w:type="dxa"/>
            <w:vAlign w:val="bottom"/>
          </w:tcPr>
          <w:p>
            <w:pPr>
              <w:spacing w:after="0"/>
              <w:rPr>
                <w:sz w:val="24"/>
                <w:szCs w:val="24"/>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0000EE"/>
              </w:rPr>
              <w:t>Allot Announces Fourth Quarter 2018 Financial Results</w:t>
            </w:r>
          </w:p>
        </w:tc>
      </w:tr>
      <w:tr>
        <w:trPr>
          <w:trHeight w:val="664"/>
        </w:trPr>
        <w:tc>
          <w:tcPr>
            <w:tcW w:w="32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3180" w:type="dxa"/>
            <w:vAlign w:val="bottom"/>
            <w:tcBorders>
              <w:top w:val="single" w:sz="8" w:color="0000EE"/>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r>
        <w:trPr>
          <w:trHeight w:val="161"/>
        </w:trPr>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spacing w:after="0"/>
              <w:rPr>
                <w:sz w:val="14"/>
                <w:szCs w:val="14"/>
                <w:color w:val="auto"/>
              </w:rPr>
            </w:pPr>
          </w:p>
        </w:tc>
        <w:tc>
          <w:tcPr>
            <w:tcW w:w="5380" w:type="dxa"/>
            <w:vAlign w:val="bottom"/>
            <w:tcBorders>
              <w:bottom w:val="single" w:sz="8" w:color="auto"/>
            </w:tcBorders>
          </w:tcPr>
          <w:p>
            <w:pPr>
              <w:spacing w:after="0"/>
              <w:rPr>
                <w:sz w:val="14"/>
                <w:szCs w:val="14"/>
                <w:color w:val="auto"/>
              </w:rPr>
            </w:pPr>
          </w:p>
        </w:tc>
      </w:tr>
    </w:tbl>
    <w:p>
      <w:pPr>
        <w:sectPr>
          <w:pgSz w:w="12240" w:h="15840" w:orient="portrait"/>
          <w:cols w:equalWidth="0" w:num="1">
            <w:col w:w="11160"/>
          </w:cols>
          <w:pgMar w:left="520" w:top="0" w:right="56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34290"/>
                    </a:xfrm>
                    <a:prstGeom prst="rect">
                      <a:avLst/>
                    </a:prstGeom>
                    <a:noFill/>
                  </pic:spPr>
                </pic:pic>
              </a:graphicData>
            </a:graphic>
          </wp:anchor>
        </w:drawing>
        <w:drawing>
          <wp:anchor simplePos="0" relativeHeight="251657728" behindDoc="1" locked="0" layoutInCell="0" allowOverlap="1">
            <wp:simplePos x="0" y="0"/>
            <wp:positionH relativeFrom="page">
              <wp:posOffset>330200</wp:posOffset>
            </wp:positionH>
            <wp:positionV relativeFrom="page">
              <wp:posOffset>119380</wp:posOffset>
            </wp:positionV>
            <wp:extent cx="7086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6039485</wp:posOffset>
            </wp:positionH>
            <wp:positionV relativeFrom="paragraph">
              <wp:posOffset>169545</wp:posOffset>
            </wp:positionV>
            <wp:extent cx="1047115" cy="613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7115" cy="61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Allot Announces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Fourth Quarter and Full Year 2018 Financial Results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17% Year-Over-Year Growth in Revenue and 24% Growth in Backlog</w:t>
      </w:r>
    </w:p>
    <w:p>
      <w:pPr>
        <w:spacing w:after="0" w:line="265"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color w:val="auto"/>
        </w:rPr>
        <w:t xml:space="preserve">Hod Hasharon, Israel – February 5, 2019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Allot Ltd.</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ALLT, TASE: ALLT), a global provider of leading innovative network intelligence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solutions for service providers worldwide, today announced its fourth quarter and full year 2018 financial results.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Fourth Quarter 2018 – Financial Highlights</w:t>
      </w:r>
    </w:p>
    <w:p>
      <w:pPr>
        <w:spacing w:after="0" w:line="280" w:lineRule="exact"/>
        <w:rPr>
          <w:sz w:val="20"/>
          <w:szCs w:val="20"/>
          <w:color w:val="auto"/>
        </w:rPr>
      </w:pPr>
    </w:p>
    <w:p>
      <w:pPr>
        <w:ind w:left="640" w:hanging="31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were $26.9 million, up 16% year-over-year;</w:t>
      </w:r>
    </w:p>
    <w:p>
      <w:pPr>
        <w:spacing w:after="0" w:line="275" w:lineRule="exact"/>
        <w:rPr>
          <w:rFonts w:ascii="Arial" w:cs="Arial" w:eastAsia="Arial" w:hAnsi="Arial"/>
          <w:sz w:val="18"/>
          <w:szCs w:val="18"/>
          <w:color w:val="auto"/>
        </w:rPr>
      </w:pPr>
    </w:p>
    <w:p>
      <w:pPr>
        <w:ind w:left="640" w:hanging="31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gross margin improved to 69.1% up from 66.8% in Q4 2017;</w:t>
      </w:r>
    </w:p>
    <w:p>
      <w:pPr>
        <w:spacing w:after="0" w:line="275" w:lineRule="exact"/>
        <w:rPr>
          <w:rFonts w:ascii="Arial" w:cs="Arial" w:eastAsia="Arial" w:hAnsi="Arial"/>
          <w:sz w:val="18"/>
          <w:szCs w:val="18"/>
          <w:color w:val="auto"/>
        </w:rPr>
      </w:pPr>
    </w:p>
    <w:p>
      <w:pPr>
        <w:ind w:left="640" w:hanging="31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gross margin improved to 70.3% up from 68.4% in Q4 2017;</w:t>
      </w:r>
    </w:p>
    <w:p>
      <w:pPr>
        <w:spacing w:after="0" w:line="275" w:lineRule="exact"/>
        <w:rPr>
          <w:rFonts w:ascii="Arial" w:cs="Arial" w:eastAsia="Arial" w:hAnsi="Arial"/>
          <w:sz w:val="18"/>
          <w:szCs w:val="18"/>
          <w:color w:val="auto"/>
        </w:rPr>
      </w:pPr>
    </w:p>
    <w:p>
      <w:pPr>
        <w:ind w:left="640" w:hanging="31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loss narrowed to $1.4 million compared to $4.3 million in Q4 2017;</w:t>
      </w:r>
    </w:p>
    <w:p>
      <w:pPr>
        <w:spacing w:after="0" w:line="275" w:lineRule="exact"/>
        <w:rPr>
          <w:rFonts w:ascii="Arial" w:cs="Arial" w:eastAsia="Arial" w:hAnsi="Arial"/>
          <w:sz w:val="18"/>
          <w:szCs w:val="18"/>
          <w:color w:val="auto"/>
        </w:rPr>
      </w:pPr>
    </w:p>
    <w:p>
      <w:pPr>
        <w:ind w:left="640" w:hanging="31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loss at $99 thousand compared to a loss of $1.3 million in Q4 2017;</w:t>
      </w:r>
    </w:p>
    <w:p>
      <w:pPr>
        <w:spacing w:after="0" w:line="275" w:lineRule="exact"/>
        <w:rPr>
          <w:rFonts w:ascii="Arial" w:cs="Arial" w:eastAsia="Arial" w:hAnsi="Arial"/>
          <w:sz w:val="18"/>
          <w:szCs w:val="18"/>
          <w:color w:val="auto"/>
        </w:rPr>
      </w:pPr>
    </w:p>
    <w:p>
      <w:pPr>
        <w:ind w:left="640" w:hanging="31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Book-to-bill above one;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 Financial Highlights</w:t>
      </w:r>
    </w:p>
    <w:p>
      <w:pPr>
        <w:spacing w:after="0" w:line="280" w:lineRule="exact"/>
        <w:rPr>
          <w:sz w:val="20"/>
          <w:szCs w:val="20"/>
          <w:color w:val="auto"/>
        </w:rPr>
      </w:pPr>
    </w:p>
    <w:p>
      <w:pPr>
        <w:ind w:left="640" w:hanging="31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were $95.8 million, up 17% year-over-year;</w:t>
      </w:r>
    </w:p>
    <w:p>
      <w:pPr>
        <w:spacing w:after="0" w:line="275" w:lineRule="exact"/>
        <w:rPr>
          <w:rFonts w:ascii="Arial" w:cs="Arial" w:eastAsia="Arial" w:hAnsi="Arial"/>
          <w:sz w:val="18"/>
          <w:szCs w:val="18"/>
          <w:color w:val="auto"/>
        </w:rPr>
      </w:pPr>
    </w:p>
    <w:p>
      <w:pPr>
        <w:ind w:left="640" w:hanging="318"/>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GAAP gross margin improved to 69.4% up from 65.2% in 2017; Non-GAAP gross margin improved to 70.7% up from 68.0% in 2017;</w:t>
      </w:r>
    </w:p>
    <w:p>
      <w:pPr>
        <w:spacing w:after="0" w:line="287" w:lineRule="exact"/>
        <w:rPr>
          <w:rFonts w:ascii="Arial" w:cs="Arial" w:eastAsia="Arial" w:hAnsi="Arial"/>
          <w:sz w:val="17"/>
          <w:szCs w:val="17"/>
          <w:color w:val="auto"/>
        </w:rPr>
      </w:pPr>
    </w:p>
    <w:p>
      <w:pPr>
        <w:ind w:left="640" w:hanging="318"/>
        <w:spacing w:after="0" w:line="274"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operating loss reduced to $10.2 million compared to a loss of $17.4 million in 2017; Non-GAAP operating loss reduced to $4.8 million compared to $8.6 million in 2017;</w:t>
      </w:r>
    </w:p>
    <w:p>
      <w:pPr>
        <w:spacing w:after="0" w:line="224" w:lineRule="exact"/>
        <w:rPr>
          <w:rFonts w:ascii="Arial" w:cs="Arial" w:eastAsia="Arial" w:hAnsi="Arial"/>
          <w:sz w:val="18"/>
          <w:szCs w:val="18"/>
          <w:color w:val="auto"/>
        </w:rPr>
      </w:pPr>
    </w:p>
    <w:p>
      <w:pPr>
        <w:ind w:left="640" w:hanging="31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book-to-bill above one;</w:t>
      </w:r>
    </w:p>
    <w:p>
      <w:pPr>
        <w:spacing w:after="0" w:line="275" w:lineRule="exact"/>
        <w:rPr>
          <w:rFonts w:ascii="Arial" w:cs="Arial" w:eastAsia="Arial" w:hAnsi="Arial"/>
          <w:sz w:val="18"/>
          <w:szCs w:val="18"/>
          <w:color w:val="auto"/>
        </w:rPr>
      </w:pPr>
    </w:p>
    <w:p>
      <w:pPr>
        <w:ind w:left="640" w:hanging="31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Backlog grew by $13.3 million to $68.9 million at year-end 2018 compared to $55.6 million at year-end 2017;</w:t>
      </w:r>
    </w:p>
    <w:p>
      <w:pPr>
        <w:spacing w:after="0" w:line="275" w:lineRule="exact"/>
        <w:rPr>
          <w:rFonts w:ascii="Arial" w:cs="Arial" w:eastAsia="Arial" w:hAnsi="Arial"/>
          <w:sz w:val="18"/>
          <w:szCs w:val="18"/>
          <w:color w:val="auto"/>
        </w:rPr>
      </w:pPr>
    </w:p>
    <w:p>
      <w:pPr>
        <w:ind w:left="640" w:hanging="31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Year-end cash and investments totaled to $103.9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Outlook</w:t>
      </w:r>
    </w:p>
    <w:p>
      <w:pPr>
        <w:spacing w:after="0" w:line="280" w:lineRule="exact"/>
        <w:rPr>
          <w:sz w:val="20"/>
          <w:szCs w:val="20"/>
          <w:color w:val="auto"/>
        </w:rPr>
      </w:pPr>
    </w:p>
    <w:p>
      <w:pPr>
        <w:ind w:left="640" w:hanging="31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 expects 2019 revenues to grow to between $106-110 million, representing continued double-digit year-over-year growth;</w:t>
      </w:r>
    </w:p>
    <w:p>
      <w:pPr>
        <w:spacing w:after="0" w:line="287" w:lineRule="exact"/>
        <w:rPr>
          <w:rFonts w:ascii="Arial" w:cs="Arial" w:eastAsia="Arial" w:hAnsi="Arial"/>
          <w:sz w:val="17"/>
          <w:szCs w:val="17"/>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year 2019 book to bill ratio is expected to be above 1;</w:t>
      </w:r>
    </w:p>
    <w:p>
      <w:pPr>
        <w:spacing w:after="0" w:line="275"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 expects to close several security subscription-based deals in 2019 in addition to the Tier-1 European deal recently announced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472440</wp:posOffset>
            </wp:positionV>
            <wp:extent cx="70866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531" w:right="56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Management Comment</w:t>
      </w: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Erez Antebi, President &amp; CEO of Allot</w:t>
      </w:r>
      <w:r>
        <w:rPr>
          <w:rFonts w:ascii="Arial" w:cs="Arial" w:eastAsia="Arial" w:hAnsi="Arial"/>
          <w:sz w:val="18"/>
          <w:szCs w:val="18"/>
          <w:color w:val="auto"/>
        </w:rPr>
        <w:t>, commented: “We are very pleased with our performance in 2018, with revenues growing at a faster pace than we</w:t>
      </w:r>
      <w:r>
        <w:rPr>
          <w:rFonts w:ascii="Arial" w:cs="Arial" w:eastAsia="Arial" w:hAnsi="Arial"/>
          <w:sz w:val="18"/>
          <w:szCs w:val="18"/>
          <w:b w:val="1"/>
          <w:bCs w:val="1"/>
          <w:color w:val="auto"/>
        </w:rPr>
        <w:t xml:space="preserve"> </w:t>
      </w:r>
      <w:r>
        <w:rPr>
          <w:rFonts w:ascii="Arial" w:cs="Arial" w:eastAsia="Arial" w:hAnsi="Arial"/>
          <w:sz w:val="18"/>
          <w:szCs w:val="18"/>
          <w:color w:val="auto"/>
        </w:rPr>
        <w:t>had originally expected. Our DPI business performed well in 2018, resulting from much improved execution of our teams across the globe. We are also satisfied with our performance in the security space: our pipeline of “security opex deals” is strong and we expect to close several such deals that can bring impact on our future growth beyond 2019.”</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Continued Mr. Antebi, </w:t>
      </w:r>
      <w:r>
        <w:rPr>
          <w:rFonts w:ascii="Arial" w:cs="Arial" w:eastAsia="Arial" w:hAnsi="Arial"/>
          <w:sz w:val="18"/>
          <w:szCs w:val="18"/>
          <w:color w:val="auto"/>
        </w:rPr>
        <w:t>“As we enter into 2019, I have increased confidence in our long-term potential. Following our restructuring and changes, we are</w:t>
      </w:r>
      <w:r>
        <w:rPr>
          <w:rFonts w:ascii="Arial" w:cs="Arial" w:eastAsia="Arial" w:hAnsi="Arial"/>
          <w:sz w:val="18"/>
          <w:szCs w:val="18"/>
          <w:b w:val="1"/>
          <w:bCs w:val="1"/>
          <w:color w:val="auto"/>
        </w:rPr>
        <w:t xml:space="preserve"> </w:t>
      </w:r>
      <w:r>
        <w:rPr>
          <w:rFonts w:ascii="Arial" w:cs="Arial" w:eastAsia="Arial" w:hAnsi="Arial"/>
          <w:sz w:val="18"/>
          <w:szCs w:val="18"/>
          <w:color w:val="auto"/>
        </w:rPr>
        <w:t>now executing better in sales, support and R&amp;D and we look forward to continue to leverage these strengths to create continuing growth in 2019 and beyond.”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Q4 2018 Financial Results Summary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for the fourth quarter of 2018 were $26.9 million, up 16% compared to $23.2 million in the fourth quarter of 2017.</w:t>
      </w:r>
    </w:p>
    <w:p>
      <w:pPr>
        <w:spacing w:after="0" w:line="27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Gross profit on a GAAP basis </w:t>
      </w:r>
      <w:r>
        <w:rPr>
          <w:rFonts w:ascii="Arial" w:cs="Arial" w:eastAsia="Arial" w:hAnsi="Arial"/>
          <w:sz w:val="18"/>
          <w:szCs w:val="18"/>
          <w:color w:val="auto"/>
        </w:rPr>
        <w:t>for the fourth quarter of 2018 was $18.6 million (gross margin of 69.1%), a 20% improvement compared with $15.5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(gross margin of 66.8%) in the fourth quarter of 2017.</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Gross profit on a non-GAAP basis </w:t>
      </w:r>
      <w:r>
        <w:rPr>
          <w:rFonts w:ascii="Arial" w:cs="Arial" w:eastAsia="Arial" w:hAnsi="Arial"/>
          <w:sz w:val="18"/>
          <w:szCs w:val="18"/>
          <w:color w:val="auto"/>
        </w:rPr>
        <w:t>for the fourth quarter of 2018 was $18.9 million (gross margin of 70.3%), a 19% improvement compared with $15.9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(gross margin of 68.4%) in the fourth quarter of 2017.</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Net loss on a GAAP basis </w:t>
      </w:r>
      <w:r>
        <w:rPr>
          <w:rFonts w:ascii="Arial" w:cs="Arial" w:eastAsia="Arial" w:hAnsi="Arial"/>
          <w:sz w:val="18"/>
          <w:szCs w:val="18"/>
          <w:color w:val="auto"/>
        </w:rPr>
        <w:t>for the fourth quarter of 2018 was $1.8 million, or $0.05 per basic share, an improvement compared with a net loss of $4.3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$0.13 per basic share, in the fourth quarter of 2017.</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Non-GAAP net loss </w:t>
      </w:r>
      <w:r>
        <w:rPr>
          <w:rFonts w:ascii="Arial" w:cs="Arial" w:eastAsia="Arial" w:hAnsi="Arial"/>
          <w:sz w:val="18"/>
          <w:szCs w:val="18"/>
          <w:color w:val="auto"/>
        </w:rPr>
        <w:t>for the fourth quarter of 2018 was $455 thousand, or $0.01 per basic share, an improvement compared with a non-GAAP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$1.5 million, or $0.04 per basic share, in the fourth quarter of 2017.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Financial Results Summary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for 2018 were $95.8 million, up 17% compared to $82.0 million in 2017.</w:t>
      </w:r>
    </w:p>
    <w:p>
      <w:pPr>
        <w:spacing w:after="0" w:line="27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Gross profit on a GAAP basis </w:t>
      </w:r>
      <w:r>
        <w:rPr>
          <w:rFonts w:ascii="Arial" w:cs="Arial" w:eastAsia="Arial" w:hAnsi="Arial"/>
          <w:sz w:val="18"/>
          <w:szCs w:val="18"/>
          <w:color w:val="auto"/>
        </w:rPr>
        <w:t>for 2018 was $66.5 million (gross margin of 69.4%), a 24% improvement compared with $53.5 million (gross margin of</w:t>
      </w:r>
      <w:r>
        <w:rPr>
          <w:rFonts w:ascii="Arial" w:cs="Arial" w:eastAsia="Arial" w:hAnsi="Arial"/>
          <w:sz w:val="18"/>
          <w:szCs w:val="18"/>
          <w:b w:val="1"/>
          <w:bCs w:val="1"/>
          <w:color w:val="auto"/>
        </w:rPr>
        <w:t xml:space="preserve"> </w:t>
      </w:r>
      <w:r>
        <w:rPr>
          <w:rFonts w:ascii="Arial" w:cs="Arial" w:eastAsia="Arial" w:hAnsi="Arial"/>
          <w:sz w:val="18"/>
          <w:szCs w:val="18"/>
          <w:color w:val="auto"/>
        </w:rPr>
        <w:t>65.2%) in 2017.</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Gross profit on a non-GAAP basis </w:t>
      </w:r>
      <w:r>
        <w:rPr>
          <w:rFonts w:ascii="Arial" w:cs="Arial" w:eastAsia="Arial" w:hAnsi="Arial"/>
          <w:sz w:val="18"/>
          <w:szCs w:val="18"/>
          <w:color w:val="auto"/>
        </w:rPr>
        <w:t>for 2018 was $67.8 million (gross margin of 70.7%), a 22% improvement compared with $55.7 million (gross margin</w:t>
      </w:r>
      <w:r>
        <w:rPr>
          <w:rFonts w:ascii="Arial" w:cs="Arial" w:eastAsia="Arial" w:hAnsi="Arial"/>
          <w:sz w:val="18"/>
          <w:szCs w:val="18"/>
          <w:b w:val="1"/>
          <w:bCs w:val="1"/>
          <w:color w:val="auto"/>
        </w:rPr>
        <w:t xml:space="preserve"> </w:t>
      </w:r>
      <w:r>
        <w:rPr>
          <w:rFonts w:ascii="Arial" w:cs="Arial" w:eastAsia="Arial" w:hAnsi="Arial"/>
          <w:sz w:val="18"/>
          <w:szCs w:val="18"/>
          <w:color w:val="auto"/>
        </w:rPr>
        <w:t>of 68.0%) in 2017.</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Net loss on a GAAP basis </w:t>
      </w:r>
      <w:r>
        <w:rPr>
          <w:rFonts w:ascii="Arial" w:cs="Arial" w:eastAsia="Arial" w:hAnsi="Arial"/>
          <w:sz w:val="18"/>
          <w:szCs w:val="18"/>
          <w:color w:val="auto"/>
        </w:rPr>
        <w:t>for 2018 was $10.4 million, or $0.31 per basic share, an improvement compared with a net loss of $18.1 million, or $0.54 per</w:t>
      </w:r>
      <w:r>
        <w:rPr>
          <w:rFonts w:ascii="Arial" w:cs="Arial" w:eastAsia="Arial" w:hAnsi="Arial"/>
          <w:sz w:val="18"/>
          <w:szCs w:val="18"/>
          <w:b w:val="1"/>
          <w:bCs w:val="1"/>
          <w:color w:val="auto"/>
        </w:rPr>
        <w:t xml:space="preserve"> </w:t>
      </w:r>
      <w:r>
        <w:rPr>
          <w:rFonts w:ascii="Arial" w:cs="Arial" w:eastAsia="Arial" w:hAnsi="Arial"/>
          <w:sz w:val="18"/>
          <w:szCs w:val="18"/>
          <w:color w:val="auto"/>
        </w:rPr>
        <w:t>basic share, in 2017.</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Non-GAAP net loss </w:t>
      </w:r>
      <w:r>
        <w:rPr>
          <w:rFonts w:ascii="Arial" w:cs="Arial" w:eastAsia="Arial" w:hAnsi="Arial"/>
          <w:sz w:val="18"/>
          <w:szCs w:val="18"/>
          <w:color w:val="auto"/>
        </w:rPr>
        <w:t>for 2018 was $5.1 million, or $0.15 per basic share, an improvement compared with a non-GAAP net loss of $8.7 million, or $0.26 per</w:t>
      </w:r>
      <w:r>
        <w:rPr>
          <w:rFonts w:ascii="Arial" w:cs="Arial" w:eastAsia="Arial" w:hAnsi="Arial"/>
          <w:sz w:val="18"/>
          <w:szCs w:val="18"/>
          <w:b w:val="1"/>
          <w:bCs w:val="1"/>
          <w:color w:val="auto"/>
        </w:rPr>
        <w:t xml:space="preserve"> </w:t>
      </w:r>
      <w:r>
        <w:rPr>
          <w:rFonts w:ascii="Arial" w:cs="Arial" w:eastAsia="Arial" w:hAnsi="Arial"/>
          <w:sz w:val="18"/>
          <w:szCs w:val="18"/>
          <w:color w:val="auto"/>
        </w:rPr>
        <w:t>basic share, in 2017.</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Cash and investments </w:t>
      </w:r>
      <w:r>
        <w:rPr>
          <w:rFonts w:ascii="Arial" w:cs="Arial" w:eastAsia="Arial" w:hAnsi="Arial"/>
          <w:sz w:val="18"/>
          <w:szCs w:val="18"/>
          <w:color w:val="auto"/>
        </w:rPr>
        <w:t>as of December 31, 2018 totaled $103.9 million, compared to $104.7 million as of September 30, 2018 and $110.0 million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0866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249" w:right="56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Conference Call &amp; Webcast</w:t>
      </w:r>
      <w:r>
        <w:rPr>
          <w:rFonts w:ascii="Arial" w:cs="Arial" w:eastAsia="Arial" w:hAnsi="Arial"/>
          <w:sz w:val="18"/>
          <w:szCs w:val="18"/>
          <w:b w:val="1"/>
          <w:bCs w:val="1"/>
          <w:color w:val="auto"/>
        </w:rPr>
        <w:t>:</w:t>
      </w:r>
    </w:p>
    <w:p>
      <w:pPr>
        <w:spacing w:after="0" w:line="28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Allot management team will host a conference call to discuss fourth quarter and full year 2018 earnings results today, February 5, 2019 at 8:30 am ET 3:30 pm Israel time. To access the conference call, please dial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1-888-668-9141, UK: 0-800-917-5108, Israel: +972-3-918-0609</w:t>
      </w:r>
    </w:p>
    <w:p>
      <w:pPr>
        <w:spacing w:after="0" w:line="276" w:lineRule="exact"/>
        <w:rPr>
          <w:sz w:val="20"/>
          <w:szCs w:val="20"/>
          <w:color w:val="auto"/>
        </w:rPr>
      </w:pPr>
    </w:p>
    <w:p>
      <w:pPr>
        <w:spacing w:after="0"/>
        <w:tabs>
          <w:tab w:leader="none" w:pos="260" w:val="left"/>
          <w:tab w:leader="none" w:pos="660" w:val="left"/>
          <w:tab w:leader="none" w:pos="1380" w:val="left"/>
          <w:tab w:leader="none" w:pos="1820" w:val="left"/>
          <w:tab w:leader="none" w:pos="2660" w:val="left"/>
          <w:tab w:leader="none" w:pos="3020" w:val="left"/>
          <w:tab w:leader="none" w:pos="3420" w:val="left"/>
          <w:tab w:leader="none" w:pos="3700" w:val="left"/>
          <w:tab w:leader="none" w:pos="4060" w:val="left"/>
          <w:tab w:leader="none" w:pos="4520" w:val="left"/>
          <w:tab w:leader="none" w:pos="4820" w:val="left"/>
          <w:tab w:leader="none" w:pos="5500" w:val="left"/>
          <w:tab w:leader="none" w:pos="5780" w:val="left"/>
          <w:tab w:leader="none" w:pos="6140" w:val="left"/>
          <w:tab w:leader="none" w:pos="7060" w:val="left"/>
          <w:tab w:leader="none" w:pos="7520" w:val="left"/>
          <w:tab w:leader="none" w:pos="7940" w:val="left"/>
          <w:tab w:leader="none" w:pos="8240" w:val="left"/>
          <w:tab w:leader="none" w:pos="9100" w:val="left"/>
          <w:tab w:leader="none" w:pos="9420" w:val="left"/>
          <w:tab w:leader="none" w:pos="9780" w:val="left"/>
          <w:tab w:leader="none" w:pos="10300" w:val="left"/>
          <w:tab w:leader="none" w:pos="10980" w:val="left"/>
        </w:tabs>
        <w:rPr>
          <w:sz w:val="20"/>
          <w:szCs w:val="20"/>
          <w:color w:val="auto"/>
        </w:rPr>
      </w:pPr>
      <w:r>
        <w:rPr>
          <w:rFonts w:ascii="Arial" w:cs="Arial" w:eastAsia="Arial" w:hAnsi="Arial"/>
          <w:sz w:val="18"/>
          <w:szCs w:val="18"/>
          <w:color w:val="auto"/>
        </w:rPr>
        <w:t>A</w:t>
        <w:tab/>
        <w:t>live</w:t>
        <w:tab/>
        <w:t>webcast</w:t>
        <w:tab/>
        <w:t>and,</w:t>
        <w:tab/>
        <w:t>following</w:t>
        <w:tab/>
        <w:t>the</w:t>
        <w:tab/>
        <w:t>end</w:t>
        <w:tab/>
        <w:t>of</w:t>
        <w:tab/>
        <w:t>the</w:t>
        <w:tab/>
        <w:t>call,</w:t>
        <w:tab/>
        <w:t>an</w:t>
        <w:tab/>
        <w:t>archive</w:t>
        <w:tab/>
        <w:t>of</w:t>
        <w:tab/>
        <w:t>the</w:t>
        <w:tab/>
        <w:t>conference</w:t>
        <w:tab/>
        <w:t>call,</w:t>
        <w:tab/>
        <w:t>will</w:t>
        <w:tab/>
        <w:t>be</w:t>
        <w:tab/>
        <w:t>accessible</w:t>
        <w:tab/>
        <w:t>on</w:t>
        <w:tab/>
        <w:t>the</w:t>
        <w:tab/>
        <w:t>Allot</w:t>
        <w:tab/>
        <w:t>website</w:t>
      </w:r>
      <w:r>
        <w:rPr>
          <w:sz w:val="20"/>
          <w:szCs w:val="20"/>
          <w:color w:val="auto"/>
        </w:rPr>
        <w:tab/>
      </w:r>
      <w:r>
        <w:rPr>
          <w:rFonts w:ascii="Arial" w:cs="Arial" w:eastAsia="Arial" w:hAnsi="Arial"/>
          <w:sz w:val="13"/>
          <w:szCs w:val="13"/>
          <w:color w:val="auto"/>
        </w:rPr>
        <w:t>at: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http://investors.allot.com/index.cfm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Allot</w:t>
      </w:r>
    </w:p>
    <w:p>
      <w:pPr>
        <w:spacing w:after="0" w:line="2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Allot Ltd. (NASDAQ: ALLT, TASE: ALLT) is a provider of leading innovative network intelligence and security solutions for service providers worldwide enhancing value to their customers. Our solutions are deployed globally for network and application analytics, traffic control and shaping, network-based security services, and more. Allot’s multi-service platforms are deployed by over 500 mobile, fixed and cloud service providers and over 1000 enterprises. Our industry leading network-based security as a service solution has achieved over 50% penetration with some service providers and is already used by over 21 million subscribers in Europe. Allot. See. Control. Secure.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www.allot.com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295275</wp:posOffset>
            </wp:positionV>
            <wp:extent cx="70866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249" w:right="56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GAAP to Non-GAAP Reconciliation</w:t>
      </w:r>
      <w:r>
        <w:rPr>
          <w:rFonts w:ascii="Arial" w:cs="Arial" w:eastAsia="Arial" w:hAnsi="Arial"/>
          <w:sz w:val="18"/>
          <w:szCs w:val="18"/>
          <w:b w:val="1"/>
          <w:bCs w:val="1"/>
          <w:color w:val="auto"/>
        </w:rPr>
        <w:t>:</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difference between GAAP and non-GAAP revenues is related to the acquisitions made by the Company and represents revenues adjusted for the impact of the fair value adjustment to acquired deferred revenue related to purchase accounting. Non-GAAP net income is defined as GAAP net income after including deferred revenues related to the fair value adjustment resulting from purchase accounting and excluding stock-based compensation expenses amortization of acquisition-related intangible assets, deferred tax asset adjustment, restructuring expenses, changes in taxes related items and other acquisition-related expenses.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non-GAAP measures should be considered in addition to, and not as a substitute for, comparable GAAP measures. The non-GAAP results and a full reconciliation between GAAP and non-GAAP results is provided in the accompanying Table 2. The Company provides these non-GAAP financia measures because it believes they present a better measure of the Company’s core business and management uses the non-GAAP measures internally to evaluate the Company’s ongoing performance. Accordingly, the Company believes they are useful to investors in enhancing an understanding of the Company’s operating performance.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release contains forward-looking statements, which express the current beliefs and expectations of Company management. Such statements involve a number of known and unknown risks and uncertainties that could cause our future results, performance or achievements to differ significantly from the results, performance or achievements set forth in such forward-looking statements. Important factors that could cause or contribute to such differences include risks relating to: our ability to compete successfully with other companies offering competing technologies; the loss of one or more significan customers; consolidation of, and strategic alliances by, our competitors, government regulation; the timing of completion of key project milestones which impact the timing of our revenue recognition; lower demand for key value-added services; our ability to keep pace with advances in technology and to add new features and value-added services; managing lengthy sales cycles; operational risks associated with large projects; our dependence on fourth party channel partners for a material portion of our revenues; court approval of the Company’s proposed share buy-back program; and other factors discussed under the heading "Risk Factors" in the Company's annual report on Form 20-F filed with the Securities and Exchange Commission. Forward-looking statements in this release are made pursuant to the safe harbor provisions contained in the Private Securities Litigation Reform Act of 1995. These forward-looking statements are made only as of the date hereof, and the company undertakes no obligation to update or revise the forward-looking statements whether as a result of new information, future events or otherwise.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 Contact:</w:t>
            </w:r>
          </w:p>
        </w:tc>
        <w:tc>
          <w:tcPr>
            <w:tcW w:w="7320" w:type="dxa"/>
            <w:vAlign w:val="bottom"/>
            <w:gridSpan w:val="3"/>
          </w:tcPr>
          <w:p>
            <w:pPr>
              <w:ind w:left="1760"/>
              <w:spacing w:after="0"/>
              <w:rPr>
                <w:sz w:val="20"/>
                <w:szCs w:val="20"/>
                <w:color w:val="auto"/>
              </w:rPr>
            </w:pPr>
            <w:r>
              <w:rPr>
                <w:rFonts w:ascii="Arial" w:cs="Arial" w:eastAsia="Arial" w:hAnsi="Arial"/>
                <w:sz w:val="18"/>
                <w:szCs w:val="18"/>
                <w:b w:val="1"/>
                <w:bCs w:val="1"/>
                <w:color w:val="auto"/>
              </w:rPr>
              <w:t>Public Relations Contact:</w:t>
            </w:r>
          </w:p>
        </w:tc>
      </w:tr>
      <w:tr>
        <w:trPr>
          <w:trHeight w:val="219"/>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GK Investor Relations</w:t>
            </w:r>
          </w:p>
        </w:tc>
        <w:tc>
          <w:tcPr>
            <w:tcW w:w="7320" w:type="dxa"/>
            <w:vAlign w:val="bottom"/>
            <w:gridSpan w:val="3"/>
          </w:tcPr>
          <w:p>
            <w:pPr>
              <w:ind w:left="1760"/>
              <w:spacing w:after="0"/>
              <w:rPr>
                <w:sz w:val="20"/>
                <w:szCs w:val="20"/>
                <w:color w:val="auto"/>
              </w:rPr>
            </w:pPr>
            <w:r>
              <w:rPr>
                <w:rFonts w:ascii="Arial" w:cs="Arial" w:eastAsia="Arial" w:hAnsi="Arial"/>
                <w:sz w:val="18"/>
                <w:szCs w:val="18"/>
                <w:b w:val="1"/>
                <w:bCs w:val="1"/>
                <w:color w:val="auto"/>
              </w:rPr>
              <w:t>Jodi Joseph Asiag</w:t>
            </w:r>
          </w:p>
        </w:tc>
      </w:tr>
      <w:tr>
        <w:trPr>
          <w:trHeight w:val="215"/>
        </w:trPr>
        <w:tc>
          <w:tcPr>
            <w:tcW w:w="3840" w:type="dxa"/>
            <w:vAlign w:val="bottom"/>
            <w:gridSpan w:val="2"/>
          </w:tcPr>
          <w:p>
            <w:pPr>
              <w:spacing w:after="0"/>
              <w:rPr>
                <w:sz w:val="20"/>
                <w:szCs w:val="20"/>
                <w:color w:val="auto"/>
              </w:rPr>
            </w:pPr>
            <w:r>
              <w:rPr>
                <w:rFonts w:ascii="Arial" w:cs="Arial" w:eastAsia="Arial" w:hAnsi="Arial"/>
                <w:sz w:val="18"/>
                <w:szCs w:val="18"/>
                <w:color w:val="auto"/>
              </w:rPr>
              <w:t>Ehud Helft/Gavriel Frohwein</w:t>
            </w:r>
          </w:p>
        </w:tc>
        <w:tc>
          <w:tcPr>
            <w:tcW w:w="7320" w:type="dxa"/>
            <w:vAlign w:val="bottom"/>
            <w:gridSpan w:val="3"/>
          </w:tcPr>
          <w:p>
            <w:pPr>
              <w:ind w:left="1760"/>
              <w:spacing w:after="0"/>
              <w:rPr>
                <w:sz w:val="20"/>
                <w:szCs w:val="20"/>
                <w:color w:val="auto"/>
              </w:rPr>
            </w:pPr>
            <w:r>
              <w:rPr>
                <w:rFonts w:ascii="Arial" w:cs="Arial" w:eastAsia="Arial" w:hAnsi="Arial"/>
                <w:sz w:val="18"/>
                <w:szCs w:val="18"/>
                <w:color w:val="auto"/>
              </w:rPr>
              <w:t>Director of Corporate Communications</w:t>
            </w:r>
          </w:p>
        </w:tc>
      </w:tr>
      <w:tr>
        <w:trPr>
          <w:trHeight w:val="189"/>
        </w:trPr>
        <w:tc>
          <w:tcPr>
            <w:tcW w:w="3840" w:type="dxa"/>
            <w:vAlign w:val="bottom"/>
            <w:gridSpan w:val="2"/>
          </w:tcPr>
          <w:p>
            <w:pPr>
              <w:spacing w:after="0" w:line="189" w:lineRule="exact"/>
              <w:rPr>
                <w:sz w:val="20"/>
                <w:szCs w:val="20"/>
                <w:color w:val="auto"/>
              </w:rPr>
            </w:pPr>
            <w:r>
              <w:rPr>
                <w:rFonts w:ascii="Arial" w:cs="Arial" w:eastAsia="Arial" w:hAnsi="Arial"/>
                <w:sz w:val="18"/>
                <w:szCs w:val="18"/>
                <w:color w:val="auto"/>
              </w:rPr>
              <w:t>+1 646 688 3559</w:t>
            </w:r>
          </w:p>
        </w:tc>
        <w:tc>
          <w:tcPr>
            <w:tcW w:w="7320" w:type="dxa"/>
            <w:vAlign w:val="bottom"/>
            <w:gridSpan w:val="3"/>
          </w:tcPr>
          <w:p>
            <w:pPr>
              <w:ind w:left="1760"/>
              <w:spacing w:after="0" w:line="189" w:lineRule="exact"/>
              <w:rPr>
                <w:sz w:val="20"/>
                <w:szCs w:val="20"/>
                <w:color w:val="auto"/>
              </w:rPr>
            </w:pPr>
            <w:r>
              <w:rPr>
                <w:rFonts w:ascii="Arial" w:cs="Arial" w:eastAsia="Arial" w:hAnsi="Arial"/>
                <w:sz w:val="18"/>
                <w:szCs w:val="18"/>
                <w:color w:val="auto"/>
              </w:rPr>
              <w:t>jasiag@allot.com</w:t>
            </w:r>
          </w:p>
        </w:tc>
      </w:tr>
      <w:tr>
        <w:trPr>
          <w:trHeight w:val="195"/>
        </w:trPr>
        <w:tc>
          <w:tcPr>
            <w:tcW w:w="3840" w:type="dxa"/>
            <w:vAlign w:val="bottom"/>
            <w:gridSpan w:val="2"/>
          </w:tcPr>
          <w:p>
            <w:pPr>
              <w:spacing w:after="0" w:line="195" w:lineRule="exact"/>
              <w:rPr>
                <w:sz w:val="20"/>
                <w:szCs w:val="20"/>
                <w:color w:val="auto"/>
              </w:rPr>
            </w:pPr>
            <w:r>
              <w:rPr>
                <w:rFonts w:ascii="Arial" w:cs="Arial" w:eastAsia="Arial" w:hAnsi="Arial"/>
                <w:sz w:val="18"/>
                <w:szCs w:val="18"/>
                <w:color w:val="auto"/>
              </w:rPr>
              <w:t>allot@gkir.com</w:t>
            </w:r>
          </w:p>
        </w:tc>
        <w:tc>
          <w:tcPr>
            <w:tcW w:w="17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320" w:type="dxa"/>
            <w:vAlign w:val="bottom"/>
          </w:tcPr>
          <w:p>
            <w:pPr>
              <w:spacing w:after="0"/>
              <w:rPr>
                <w:sz w:val="16"/>
                <w:szCs w:val="16"/>
                <w:color w:val="auto"/>
              </w:rPr>
            </w:pPr>
          </w:p>
        </w:tc>
      </w:tr>
      <w:tr>
        <w:trPr>
          <w:trHeight w:val="443"/>
        </w:trPr>
        <w:tc>
          <w:tcPr>
            <w:tcW w:w="1120" w:type="dxa"/>
            <w:vAlign w:val="bottom"/>
            <w:tcBorders>
              <w:top w:val="single" w:sz="8" w:color="auto"/>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2240" w:h="15840" w:orient="portrait"/>
          <w:cols w:equalWidth="0" w:num="1">
            <w:col w:w="11160"/>
          </w:cols>
          <w:pgMar w:left="520" w:top="0" w:right="56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TABLE - 1</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ALLOT LTD.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ITS SUBSIDIARIES</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Year Ended</w:t>
            </w:r>
          </w:p>
        </w:tc>
      </w:tr>
      <w:tr>
        <w:trPr>
          <w:trHeight w:val="240"/>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5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r>
      <w:tr>
        <w:trPr>
          <w:trHeight w:val="221"/>
        </w:trPr>
        <w:tc>
          <w:tcPr>
            <w:tcW w:w="5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9"/>
              </w:rPr>
              <w:t>(Unaudited)</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8"/>
              </w:rPr>
              <w:t>(Audited)</w:t>
            </w:r>
          </w:p>
        </w:tc>
        <w:tc>
          <w:tcPr>
            <w:tcW w:w="80" w:type="dxa"/>
            <w:vAlign w:val="bottom"/>
          </w:tcPr>
          <w:p>
            <w:pPr>
              <w:spacing w:after="0"/>
              <w:rPr>
                <w:sz w:val="19"/>
                <w:szCs w:val="19"/>
                <w:color w:val="auto"/>
              </w:rPr>
            </w:pPr>
          </w:p>
        </w:tc>
      </w:tr>
      <w:tr>
        <w:trPr>
          <w:trHeight w:val="215"/>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81,992</w:t>
            </w:r>
          </w:p>
        </w:tc>
      </w:tr>
      <w:tr>
        <w:trPr>
          <w:trHeight w:val="221"/>
        </w:trPr>
        <w:tc>
          <w:tcPr>
            <w:tcW w:w="594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7,710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29,349</w:t>
            </w: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28,530</w:t>
            </w:r>
          </w:p>
        </w:tc>
      </w:tr>
      <w:tr>
        <w:trPr>
          <w:trHeight w:val="215"/>
        </w:trPr>
        <w:tc>
          <w:tcPr>
            <w:tcW w:w="5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1"/>
        </w:trPr>
        <w:tc>
          <w:tcPr>
            <w:tcW w:w="59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18,589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15,488</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66,488</w:t>
            </w: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53,462</w:t>
            </w:r>
          </w:p>
        </w:tc>
      </w:tr>
      <w:tr>
        <w:trPr>
          <w:trHeight w:val="215"/>
        </w:trPr>
        <w:tc>
          <w:tcPr>
            <w:tcW w:w="5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 net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25,418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21,852</w:t>
            </w: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40,849</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38,316</w:t>
            </w: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10,696</w:t>
            </w:r>
          </w:p>
        </w:tc>
      </w:tr>
      <w:tr>
        <w:trPr>
          <w:trHeight w:val="27"/>
        </w:trPr>
        <w:tc>
          <w:tcPr>
            <w:tcW w:w="59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19,750</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76,683</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70,864</w:t>
            </w: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(10,195)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(17,402)</w:t>
            </w:r>
          </w:p>
        </w:tc>
      </w:tr>
      <w:tr>
        <w:trPr>
          <w:trHeight w:val="221"/>
        </w:trPr>
        <w:tc>
          <w:tcPr>
            <w:tcW w:w="5940" w:type="dxa"/>
            <w:vAlign w:val="bottom"/>
          </w:tcPr>
          <w:p>
            <w:pPr>
              <w:spacing w:after="0"/>
              <w:rPr>
                <w:sz w:val="20"/>
                <w:szCs w:val="20"/>
                <w:color w:val="auto"/>
              </w:rPr>
            </w:pPr>
            <w:r>
              <w:rPr>
                <w:rFonts w:ascii="Arial" w:cs="Arial" w:eastAsia="Arial" w:hAnsi="Arial"/>
                <w:sz w:val="18"/>
                <w:szCs w:val="18"/>
                <w:color w:val="auto"/>
              </w:rPr>
              <w:t>Financial and other income, net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2,208</w:t>
            </w: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894</w:t>
            </w: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(16,508)</w:t>
            </w:r>
          </w:p>
        </w:tc>
        <w:tc>
          <w:tcPr>
            <w:tcW w:w="80" w:type="dxa"/>
            <w:vAlign w:val="bottom"/>
            <w:shd w:val="clear" w:color="auto" w:fill="CCEEFF"/>
          </w:tcPr>
          <w:p>
            <w:pPr>
              <w:spacing w:after="0"/>
              <w:rPr>
                <w:sz w:val="18"/>
                <w:szCs w:val="18"/>
                <w:color w:val="auto"/>
              </w:rPr>
            </w:pPr>
          </w:p>
        </w:tc>
      </w:tr>
      <w:tr>
        <w:trPr>
          <w:trHeight w:val="215"/>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Tax expenses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1,564</w:t>
            </w:r>
          </w:p>
        </w:tc>
      </w:tr>
      <w:tr>
        <w:trPr>
          <w:trHeight w:val="27"/>
        </w:trPr>
        <w:tc>
          <w:tcPr>
            <w:tcW w:w="59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(1,817)</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(10,415)</w:t>
            </w: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(18,072)</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Basic net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Diluted net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w w:val="92"/>
              </w:rPr>
              <w:t>Weighted average number of shares used in computing basic net loss per share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33,860,114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33,412,701</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33,710,507</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33,253,158</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w w:val="91"/>
              </w:rPr>
              <w:t>Weighted average number of shares used in computing diluted net loss per share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33,860,114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33,412,701</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33,710,507</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33,253,158</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6"/>
        </w:trPr>
        <w:tc>
          <w:tcPr>
            <w:tcW w:w="5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2240" w:h="15840" w:orient="portrait"/>
          <w:cols w:equalWidth="0" w:num="1">
            <w:col w:w="11160"/>
          </w:cols>
          <w:pgMar w:left="520" w:top="0" w:right="56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TABLE - 2</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ALLOT LTD.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ITS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GAAP TO NON-GAAP CONSOLIDATED STATEMENTS OF OPERATIONS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8"/>
                <w:szCs w:val="18"/>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Year Ended</w:t>
            </w:r>
          </w:p>
        </w:tc>
      </w:tr>
      <w:tr>
        <w:trPr>
          <w:trHeight w:val="240"/>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0"/>
                <w:szCs w:val="20"/>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21"/>
        </w:trPr>
        <w:tc>
          <w:tcPr>
            <w:tcW w:w="5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r>
      <w:tr>
        <w:trPr>
          <w:trHeight w:val="221"/>
        </w:trPr>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center"/>
              <w:ind w:right="131"/>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center"/>
              <w:ind w:right="111"/>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19"/>
                <w:szCs w:val="19"/>
                <w:color w:val="auto"/>
              </w:rPr>
            </w:pPr>
          </w:p>
        </w:tc>
      </w:tr>
      <w:tr>
        <w:trPr>
          <w:trHeight w:val="215"/>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Revenues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95,837</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81,992</w:t>
            </w:r>
          </w:p>
        </w:tc>
      </w:tr>
      <w:tr>
        <w:trPr>
          <w:trHeight w:val="221"/>
        </w:trPr>
        <w:tc>
          <w:tcPr>
            <w:tcW w:w="5940" w:type="dxa"/>
            <w:vAlign w:val="bottom"/>
          </w:tcPr>
          <w:p>
            <w:pPr>
              <w:ind w:left="40"/>
              <w:spacing w:after="0"/>
              <w:rPr>
                <w:sz w:val="20"/>
                <w:szCs w:val="20"/>
                <w:color w:val="auto"/>
              </w:rPr>
            </w:pPr>
            <w:r>
              <w:rPr>
                <w:rFonts w:ascii="Arial" w:cs="Arial" w:eastAsia="Arial" w:hAnsi="Arial"/>
                <w:sz w:val="18"/>
                <w:szCs w:val="18"/>
                <w:color w:val="auto"/>
              </w:rPr>
              <w:t>Fair value adjustment for acquired deferred revenues write down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r>
      <w:tr>
        <w:trPr>
          <w:trHeight w:val="221"/>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Revenues</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95,837</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5"/>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29,349</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28,530</w:t>
            </w: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Share-based compensation (1)</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w:t>
            </w: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Restructuring expenses (4)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(887)</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tax related items (5)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7"/>
        </w:trPr>
        <w:tc>
          <w:tcPr>
            <w:tcW w:w="5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1"/>
        </w:trPr>
        <w:tc>
          <w:tcPr>
            <w:tcW w:w="5940" w:type="dxa"/>
            <w:vAlign w:val="bottom"/>
          </w:tcPr>
          <w:p>
            <w:pPr>
              <w:spacing w:after="0"/>
              <w:rPr>
                <w:sz w:val="20"/>
                <w:szCs w:val="20"/>
                <w:color w:val="auto"/>
              </w:rPr>
            </w:pPr>
            <w:r>
              <w:rPr>
                <w:rFonts w:ascii="Arial" w:cs="Arial" w:eastAsia="Arial" w:hAnsi="Arial"/>
                <w:sz w:val="18"/>
                <w:szCs w:val="18"/>
                <w:color w:val="auto"/>
              </w:rPr>
              <w:t>Non-GAAP cost of revenues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7,986</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7,339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28,086</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26,287</w:t>
            </w:r>
          </w:p>
        </w:tc>
      </w:tr>
      <w:tr>
        <w:trPr>
          <w:trHeight w:val="215"/>
        </w:trPr>
        <w:tc>
          <w:tcPr>
            <w:tcW w:w="59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GAAP gross profit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18,589</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15,488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66,488</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53,462</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 adjustments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2,280</w:t>
            </w:r>
          </w:p>
        </w:tc>
      </w:tr>
      <w:tr>
        <w:trPr>
          <w:trHeight w:val="27"/>
        </w:trPr>
        <w:tc>
          <w:tcPr>
            <w:tcW w:w="5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1"/>
        </w:trPr>
        <w:tc>
          <w:tcPr>
            <w:tcW w:w="5940" w:type="dxa"/>
            <w:vAlign w:val="bottom"/>
          </w:tcPr>
          <w:p>
            <w:pPr>
              <w:ind w:left="40"/>
              <w:spacing w:after="0"/>
              <w:rPr>
                <w:sz w:val="20"/>
                <w:szCs w:val="20"/>
                <w:color w:val="auto"/>
              </w:rPr>
            </w:pPr>
            <w:r>
              <w:rPr>
                <w:rFonts w:ascii="Arial" w:cs="Arial" w:eastAsia="Arial" w:hAnsi="Arial"/>
                <w:sz w:val="18"/>
                <w:szCs w:val="18"/>
                <w:color w:val="auto"/>
              </w:rPr>
              <w:t>Non-GAAP gross profit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18,899</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15,860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67,751</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55,742</w:t>
            </w:r>
          </w:p>
        </w:tc>
      </w:tr>
      <w:tr>
        <w:trPr>
          <w:trHeight w:val="215"/>
        </w:trPr>
        <w:tc>
          <w:tcPr>
            <w:tcW w:w="59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GAAP operating expenses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20,002</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19,750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76,683</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70,864</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(2,813)</w:t>
            </w: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Amortization of intangible assets (2)</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(539)</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Restructuring expenses (4)</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tax related items (5)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(1,416)</w:t>
            </w:r>
          </w:p>
        </w:tc>
      </w:tr>
      <w:tr>
        <w:trPr>
          <w:trHeight w:val="27"/>
        </w:trPr>
        <w:tc>
          <w:tcPr>
            <w:tcW w:w="5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1"/>
        </w:trPr>
        <w:tc>
          <w:tcPr>
            <w:tcW w:w="5940" w:type="dxa"/>
            <w:vAlign w:val="bottom"/>
          </w:tcPr>
          <w:p>
            <w:pPr>
              <w:ind w:left="40"/>
              <w:spacing w:after="0"/>
              <w:rPr>
                <w:sz w:val="20"/>
                <w:szCs w:val="20"/>
                <w:color w:val="auto"/>
              </w:rPr>
            </w:pPr>
            <w:r>
              <w:rPr>
                <w:rFonts w:ascii="Arial" w:cs="Arial" w:eastAsia="Arial" w:hAnsi="Arial"/>
                <w:sz w:val="18"/>
                <w:szCs w:val="18"/>
                <w:color w:val="auto"/>
              </w:rPr>
              <w:t>Non-GAAP operating expenses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18,998</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17,115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72,561</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64,365</w:t>
            </w:r>
          </w:p>
        </w:tc>
      </w:tr>
      <w:tr>
        <w:trPr>
          <w:trHeight w:val="215"/>
        </w:trPr>
        <w:tc>
          <w:tcPr>
            <w:tcW w:w="59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GAAP financial and other income</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2,208</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894</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w:t>
            </w:r>
          </w:p>
        </w:tc>
      </w:tr>
      <w:tr>
        <w:trPr>
          <w:trHeight w:val="27"/>
        </w:trPr>
        <w:tc>
          <w:tcPr>
            <w:tcW w:w="5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1"/>
        </w:trPr>
        <w:tc>
          <w:tcPr>
            <w:tcW w:w="5940" w:type="dxa"/>
            <w:vAlign w:val="bottom"/>
          </w:tcPr>
          <w:p>
            <w:pPr>
              <w:ind w:left="40"/>
              <w:spacing w:after="0"/>
              <w:rPr>
                <w:sz w:val="20"/>
                <w:szCs w:val="20"/>
                <w:color w:val="auto"/>
              </w:rPr>
            </w:pPr>
            <w:r>
              <w:rPr>
                <w:rFonts w:ascii="Arial" w:cs="Arial" w:eastAsia="Arial" w:hAnsi="Arial"/>
                <w:sz w:val="18"/>
                <w:szCs w:val="18"/>
                <w:color w:val="auto"/>
              </w:rPr>
              <w:t>Non-GAAP Financial and other income</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1,984</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1,519</w:t>
            </w:r>
          </w:p>
        </w:tc>
      </w:tr>
      <w:tr>
        <w:trPr>
          <w:trHeight w:val="215"/>
        </w:trPr>
        <w:tc>
          <w:tcPr>
            <w:tcW w:w="59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GAAP taxes on income</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1,005</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2,428</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1,564</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expenses (benefits) in respect of net deferred tax asset recorded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r>
      <w:tr>
        <w:trPr>
          <w:trHeight w:val="27"/>
        </w:trPr>
        <w:tc>
          <w:tcPr>
            <w:tcW w:w="5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Non-GAAP taxes on income</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2,312</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1,581</w:t>
            </w: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5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GAAP Net Loss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(1,817)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(4,340)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(10,415)</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(18,072)</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(1)</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3,175</w:t>
            </w: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Amortization of intangible assets (2)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1,630</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1,477</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w:t>
            </w: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Restructuring expenses (4)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2,351</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tax related items (5)</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1,472</w:t>
            </w: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Fair value adjustment for acquired deferred revenues write down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benefits (expenses) in respect of net deferred tax asset recorded</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7"/>
        </w:trPr>
        <w:tc>
          <w:tcPr>
            <w:tcW w:w="5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Non-GAAP Net Loss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(1,464)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(5,138)</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(8,685)</w:t>
            </w: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5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GAAP Loss per share (diluted)</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for acquired deferred revenues write down</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Changes in taxes and headcount related items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benefits (expenses) in respect of net deferred tax asset recorded</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5"/>
        </w:trPr>
        <w:tc>
          <w:tcPr>
            <w:tcW w:w="5940" w:type="dxa"/>
            <w:vAlign w:val="bottom"/>
          </w:tcPr>
          <w:p>
            <w:pPr>
              <w:ind w:left="40"/>
              <w:spacing w:after="0"/>
              <w:rPr>
                <w:sz w:val="20"/>
                <w:szCs w:val="20"/>
                <w:color w:val="auto"/>
              </w:rPr>
            </w:pPr>
            <w:r>
              <w:rPr>
                <w:rFonts w:ascii="Arial" w:cs="Arial" w:eastAsia="Arial" w:hAnsi="Arial"/>
                <w:sz w:val="18"/>
                <w:szCs w:val="18"/>
                <w:color w:val="auto"/>
              </w:rPr>
              <w:t>Non-GAAP Net loss per share (diluted)</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5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w w:val="95"/>
              </w:rPr>
              <w:t>Weighted average number of shares used in computing GAAP diluted net loss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per share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33,860,114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33,412,701</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33,710,507</w:t>
            </w: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33,253,158</w:t>
            </w: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5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w w:val="95"/>
              </w:rPr>
              <w:t>Weighted average number of shares used in computing non-GAAP diluted net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loss per share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33,860,114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33,412,701</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33,710,507</w:t>
            </w: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33,253,158</w:t>
            </w: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6"/>
        </w:trPr>
        <w:tc>
          <w:tcPr>
            <w:tcW w:w="5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2240" w:h="15840" w:orient="portrait"/>
          <w:cols w:equalWidth="0" w:num="1">
            <w:col w:w="11160"/>
          </w:cols>
          <w:pgMar w:left="520" w:top="0" w:right="560"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TABLE - 2 cont.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ALLOT COMMUNICATIONS LTD.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ITS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GAAP TO NON-GAAP CONSOLIDATED STATEMENTS OF OPERATIONS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60" w:type="dxa"/>
            <w:vAlign w:val="bottom"/>
            <w:gridSpan w:val="4"/>
          </w:tcPr>
          <w:p>
            <w:pPr>
              <w:jc w:val="center"/>
              <w:ind w:left="351"/>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11"/>
              <w:spacing w:after="0"/>
              <w:rPr>
                <w:sz w:val="20"/>
                <w:szCs w:val="20"/>
                <w:color w:val="auto"/>
              </w:rPr>
            </w:pPr>
            <w:r>
              <w:rPr>
                <w:rFonts w:ascii="Arial" w:cs="Arial" w:eastAsia="Arial" w:hAnsi="Arial"/>
                <w:sz w:val="18"/>
                <w:szCs w:val="18"/>
                <w:b w:val="1"/>
                <w:bCs w:val="1"/>
                <w:color w:val="auto"/>
                <w:w w:val="88"/>
              </w:rPr>
              <w:t>Year Ended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0"/>
        </w:trPr>
        <w:tc>
          <w:tcPr>
            <w:tcW w:w="4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60" w:type="dxa"/>
            <w:vAlign w:val="bottom"/>
            <w:gridSpan w:val="4"/>
          </w:tcPr>
          <w:p>
            <w:pPr>
              <w:jc w:val="center"/>
              <w:ind w:left="331"/>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r>
      <w:tr>
        <w:trPr>
          <w:trHeight w:val="221"/>
        </w:trPr>
        <w:tc>
          <w:tcPr>
            <w:tcW w:w="4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84"/>
              </w:rPr>
              <w:t>2017</w:t>
            </w:r>
          </w:p>
        </w:tc>
        <w:tc>
          <w:tcPr>
            <w:tcW w:w="80" w:type="dxa"/>
            <w:vAlign w:val="bottom"/>
          </w:tcPr>
          <w:p>
            <w:pPr>
              <w:spacing w:after="0"/>
              <w:rPr>
                <w:sz w:val="19"/>
                <w:szCs w:val="19"/>
                <w:color w:val="auto"/>
              </w:rPr>
            </w:pPr>
          </w:p>
        </w:tc>
      </w:tr>
      <w:tr>
        <w:trPr>
          <w:trHeight w:val="221"/>
        </w:trPr>
        <w:tc>
          <w:tcPr>
            <w:tcW w:w="4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right="266"/>
              <w:spacing w:after="0"/>
              <w:rPr>
                <w:sz w:val="20"/>
                <w:szCs w:val="20"/>
                <w:color w:val="auto"/>
              </w:rPr>
            </w:pPr>
            <w:r>
              <w:rPr>
                <w:rFonts w:ascii="Arial" w:cs="Arial" w:eastAsia="Arial" w:hAnsi="Arial"/>
                <w:sz w:val="18"/>
                <w:szCs w:val="18"/>
                <w:b w:val="1"/>
                <w:bCs w:val="1"/>
                <w:color w:val="auto"/>
                <w:w w:val="91"/>
              </w:rPr>
              <w:t>(Unaudited)</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11"/>
              <w:spacing w:after="0"/>
              <w:rPr>
                <w:sz w:val="20"/>
                <w:szCs w:val="20"/>
                <w:color w:val="auto"/>
              </w:rPr>
            </w:pPr>
            <w:r>
              <w:rPr>
                <w:rFonts w:ascii="Arial" w:cs="Arial" w:eastAsia="Arial" w:hAnsi="Arial"/>
                <w:sz w:val="18"/>
                <w:szCs w:val="18"/>
                <w:b w:val="1"/>
                <w:bCs w:val="1"/>
                <w:color w:val="auto"/>
                <w:w w:val="91"/>
              </w:rPr>
              <w:t>(Unaudited)</w:t>
            </w: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(1) Share-based compensation:</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4540" w:type="dxa"/>
            <w:vAlign w:val="bottom"/>
          </w:tcPr>
          <w:p>
            <w:pPr>
              <w:ind w:left="480"/>
              <w:spacing w:after="0"/>
              <w:rPr>
                <w:sz w:val="20"/>
                <w:szCs w:val="20"/>
                <w:color w:val="auto"/>
              </w:rPr>
            </w:pPr>
            <w:r>
              <w:rPr>
                <w:rFonts w:ascii="Arial" w:cs="Arial" w:eastAsia="Arial" w:hAnsi="Arial"/>
                <w:sz w:val="18"/>
                <w:szCs w:val="18"/>
                <w:color w:val="auto"/>
              </w:rPr>
              <w:t>Cost of revenues</w:t>
            </w:r>
          </w:p>
        </w:tc>
        <w:tc>
          <w:tcPr>
            <w:tcW w:w="2160" w:type="dxa"/>
            <w:vAlign w:val="bottom"/>
            <w:gridSpan w:val="2"/>
          </w:tcPr>
          <w:p>
            <w:pPr>
              <w:jc w:val="right"/>
              <w:ind w:right="571"/>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316</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r>
      <w:tr>
        <w:trPr>
          <w:trHeight w:val="215"/>
        </w:trPr>
        <w:tc>
          <w:tcPr>
            <w:tcW w:w="4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Research and development costs, net</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w:t>
            </w:r>
          </w:p>
        </w:tc>
      </w:tr>
      <w:tr>
        <w:trPr>
          <w:trHeight w:val="215"/>
        </w:trPr>
        <w:tc>
          <w:tcPr>
            <w:tcW w:w="4540" w:type="dxa"/>
            <w:vAlign w:val="bottom"/>
          </w:tcPr>
          <w:p>
            <w:pPr>
              <w:ind w:left="480"/>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928</w:t>
            </w: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1,015</w:t>
            </w:r>
          </w:p>
        </w:tc>
      </w:tr>
      <w:tr>
        <w:trPr>
          <w:trHeight w:val="215"/>
        </w:trPr>
        <w:tc>
          <w:tcPr>
            <w:tcW w:w="4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w:t>
            </w:r>
          </w:p>
        </w:tc>
      </w:tr>
      <w:tr>
        <w:trPr>
          <w:trHeight w:val="27"/>
        </w:trPr>
        <w:tc>
          <w:tcPr>
            <w:tcW w:w="45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1"/>
        </w:trPr>
        <w:tc>
          <w:tcPr>
            <w:tcW w:w="4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jc w:val="right"/>
              <w:ind w:right="571"/>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9"/>
                <w:szCs w:val="19"/>
                <w:color w:val="auto"/>
              </w:rPr>
            </w:pP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789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2,862</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3,175</w:t>
            </w:r>
          </w:p>
        </w:tc>
      </w:tr>
      <w:tr>
        <w:trPr>
          <w:trHeight w:val="215"/>
        </w:trPr>
        <w:tc>
          <w:tcPr>
            <w:tcW w:w="4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4540" w:type="dxa"/>
            <w:vAlign w:val="bottom"/>
          </w:tcPr>
          <w:p>
            <w:pPr>
              <w:ind w:left="40"/>
              <w:spacing w:after="0"/>
              <w:rPr>
                <w:sz w:val="20"/>
                <w:szCs w:val="20"/>
                <w:color w:val="auto"/>
              </w:rPr>
            </w:pPr>
            <w:r>
              <w:rPr>
                <w:rFonts w:ascii="Arial" w:cs="Arial" w:eastAsia="Arial" w:hAnsi="Arial"/>
                <w:sz w:val="18"/>
                <w:szCs w:val="18"/>
                <w:color w:val="auto"/>
              </w:rPr>
              <w:t>(2) Amortization of intangible assets</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4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Cost of revenues</w:t>
            </w:r>
          </w:p>
        </w:tc>
        <w:tc>
          <w:tcPr>
            <w:tcW w:w="216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w:t>
            </w:r>
          </w:p>
        </w:tc>
      </w:tr>
      <w:tr>
        <w:trPr>
          <w:trHeight w:val="221"/>
        </w:trPr>
        <w:tc>
          <w:tcPr>
            <w:tcW w:w="4540" w:type="dxa"/>
            <w:vAlign w:val="bottom"/>
          </w:tcPr>
          <w:p>
            <w:pPr>
              <w:ind w:left="480"/>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3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539</w:t>
            </w:r>
          </w:p>
        </w:tc>
      </w:tr>
      <w:tr>
        <w:trPr>
          <w:trHeight w:val="221"/>
        </w:trPr>
        <w:tc>
          <w:tcPr>
            <w:tcW w:w="45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5"/>
        </w:trPr>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 Expenses related to M&amp;A activities</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454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160" w:type="dxa"/>
            <w:vAlign w:val="bottom"/>
            <w:gridSpan w:val="2"/>
          </w:tcPr>
          <w:p>
            <w:pPr>
              <w:jc w:val="right"/>
              <w:ind w:right="571"/>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r>
      <w:tr>
        <w:trPr>
          <w:trHeight w:val="215"/>
        </w:trPr>
        <w:tc>
          <w:tcPr>
            <w:tcW w:w="4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Research and development costs, net</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1"/>
        </w:trPr>
        <w:tc>
          <w:tcPr>
            <w:tcW w:w="4540" w:type="dxa"/>
            <w:vAlign w:val="bottom"/>
          </w:tcPr>
          <w:p>
            <w:pPr>
              <w:ind w:left="480"/>
              <w:spacing w:after="0"/>
              <w:rPr>
                <w:sz w:val="20"/>
                <w:szCs w:val="20"/>
                <w:color w:val="auto"/>
              </w:rPr>
            </w:pPr>
            <w:r>
              <w:rPr>
                <w:rFonts w:ascii="Arial" w:cs="Arial" w:eastAsia="Arial" w:hAnsi="Arial"/>
                <w:sz w:val="18"/>
                <w:szCs w:val="18"/>
                <w:color w:val="auto"/>
              </w:rPr>
              <w:t>Financial expenses (income)</w:t>
            </w: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3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625</w:t>
            </w:r>
          </w:p>
        </w:tc>
      </w:tr>
      <w:tr>
        <w:trPr>
          <w:trHeight w:val="221"/>
        </w:trPr>
        <w:tc>
          <w:tcPr>
            <w:tcW w:w="45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5"/>
        </w:trPr>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(4) Restructuring expenses</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4540" w:type="dxa"/>
            <w:vAlign w:val="bottom"/>
          </w:tcPr>
          <w:p>
            <w:pPr>
              <w:ind w:left="480"/>
              <w:spacing w:after="0"/>
              <w:rPr>
                <w:sz w:val="20"/>
                <w:szCs w:val="20"/>
                <w:color w:val="auto"/>
              </w:rPr>
            </w:pPr>
            <w:r>
              <w:rPr>
                <w:rFonts w:ascii="Arial" w:cs="Arial" w:eastAsia="Arial" w:hAnsi="Arial"/>
                <w:sz w:val="18"/>
                <w:szCs w:val="18"/>
                <w:color w:val="auto"/>
              </w:rPr>
              <w:t>Cost of revenues</w:t>
            </w:r>
          </w:p>
        </w:tc>
        <w:tc>
          <w:tcPr>
            <w:tcW w:w="2160" w:type="dxa"/>
            <w:vAlign w:val="bottom"/>
            <w:gridSpan w:val="2"/>
          </w:tcPr>
          <w:p>
            <w:pPr>
              <w:jc w:val="right"/>
              <w:ind w:right="571"/>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887</w:t>
            </w:r>
          </w:p>
        </w:tc>
      </w:tr>
      <w:tr>
        <w:trPr>
          <w:trHeight w:val="215"/>
        </w:trPr>
        <w:tc>
          <w:tcPr>
            <w:tcW w:w="4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Research and development costs, net</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r>
      <w:tr>
        <w:trPr>
          <w:trHeight w:val="215"/>
        </w:trPr>
        <w:tc>
          <w:tcPr>
            <w:tcW w:w="4540" w:type="dxa"/>
            <w:vAlign w:val="bottom"/>
          </w:tcPr>
          <w:p>
            <w:pPr>
              <w:ind w:left="480"/>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976</w:t>
            </w:r>
          </w:p>
        </w:tc>
      </w:tr>
      <w:tr>
        <w:trPr>
          <w:trHeight w:val="215"/>
        </w:trPr>
        <w:tc>
          <w:tcPr>
            <w:tcW w:w="4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w:t>
            </w:r>
          </w:p>
        </w:tc>
      </w:tr>
      <w:tr>
        <w:trPr>
          <w:trHeight w:val="27"/>
        </w:trPr>
        <w:tc>
          <w:tcPr>
            <w:tcW w:w="45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1"/>
        </w:trPr>
        <w:tc>
          <w:tcPr>
            <w:tcW w:w="4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jc w:val="right"/>
              <w:ind w:right="571"/>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2,351</w:t>
            </w:r>
          </w:p>
        </w:tc>
      </w:tr>
      <w:tr>
        <w:trPr>
          <w:trHeight w:val="215"/>
        </w:trPr>
        <w:tc>
          <w:tcPr>
            <w:tcW w:w="4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4540" w:type="dxa"/>
            <w:vAlign w:val="bottom"/>
          </w:tcPr>
          <w:p>
            <w:pPr>
              <w:ind w:left="40"/>
              <w:spacing w:after="0"/>
              <w:rPr>
                <w:sz w:val="20"/>
                <w:szCs w:val="20"/>
                <w:color w:val="auto"/>
              </w:rPr>
            </w:pPr>
            <w:r>
              <w:rPr>
                <w:rFonts w:ascii="Arial" w:cs="Arial" w:eastAsia="Arial" w:hAnsi="Arial"/>
                <w:sz w:val="18"/>
                <w:szCs w:val="18"/>
                <w:color w:val="auto"/>
              </w:rPr>
              <w:t>(5) Changes in tax related items</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4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Research and development costs, net</w:t>
            </w:r>
          </w:p>
        </w:tc>
        <w:tc>
          <w:tcPr>
            <w:tcW w:w="216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r>
      <w:tr>
        <w:trPr>
          <w:trHeight w:val="215"/>
        </w:trPr>
        <w:tc>
          <w:tcPr>
            <w:tcW w:w="4540" w:type="dxa"/>
            <w:vAlign w:val="bottom"/>
          </w:tcPr>
          <w:p>
            <w:pPr>
              <w:ind w:left="480"/>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1,045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1,045</w:t>
            </w:r>
          </w:p>
        </w:tc>
      </w:tr>
      <w:tr>
        <w:trPr>
          <w:trHeight w:val="215"/>
        </w:trPr>
        <w:tc>
          <w:tcPr>
            <w:tcW w:w="4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Cost of revenues</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r>
      <w:tr>
        <w:trPr>
          <w:trHeight w:val="221"/>
        </w:trPr>
        <w:tc>
          <w:tcPr>
            <w:tcW w:w="454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3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r>
      <w:tr>
        <w:trPr>
          <w:trHeight w:val="221"/>
        </w:trPr>
        <w:tc>
          <w:tcPr>
            <w:tcW w:w="45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1,472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423"/>
        </w:trPr>
        <w:tc>
          <w:tcPr>
            <w:tcW w:w="4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2240" w:h="15840" w:orient="portrait"/>
          <w:cols w:equalWidth="0" w:num="1">
            <w:col w:w="11160"/>
          </w:cols>
          <w:pgMar w:left="520" w:top="0" w:right="56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TABLE - 3</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ALLOT LTD.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ITS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2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r>
      <w:tr>
        <w:trPr>
          <w:trHeight w:val="240"/>
        </w:trPr>
        <w:tc>
          <w:tcPr>
            <w:tcW w:w="8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4"/>
              </w:rPr>
              <w:t>2018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0"/>
                <w:szCs w:val="20"/>
                <w:color w:val="auto"/>
              </w:rPr>
            </w:pPr>
          </w:p>
        </w:tc>
      </w:tr>
      <w:tr>
        <w:trPr>
          <w:trHeight w:val="221"/>
        </w:trPr>
        <w:tc>
          <w:tcPr>
            <w:tcW w:w="8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3"/>
              </w:rPr>
              <w:t>(Audited)</w:t>
            </w:r>
          </w:p>
        </w:tc>
        <w:tc>
          <w:tcPr>
            <w:tcW w:w="80" w:type="dxa"/>
            <w:vAlign w:val="bottom"/>
          </w:tcPr>
          <w:p>
            <w:pPr>
              <w:spacing w:after="0"/>
              <w:rPr>
                <w:sz w:val="19"/>
                <w:szCs w:val="19"/>
                <w:color w:val="auto"/>
              </w:rPr>
            </w:pPr>
          </w:p>
        </w:tc>
      </w:tr>
      <w:tr>
        <w:trPr>
          <w:trHeight w:val="215"/>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620" w:type="dxa"/>
            <w:vAlign w:val="bottom"/>
            <w:shd w:val="clear" w:color="auto" w:fill="CCEEFF"/>
          </w:tcPr>
          <w:p>
            <w:pPr>
              <w:ind w:left="16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15,342</w:t>
            </w:r>
          </w:p>
        </w:tc>
      </w:tr>
      <w:tr>
        <w:trPr>
          <w:trHeight w:val="215"/>
        </w:trPr>
        <w:tc>
          <w:tcPr>
            <w:tcW w:w="8620" w:type="dxa"/>
            <w:vAlign w:val="bottom"/>
          </w:tcPr>
          <w:p>
            <w:pPr>
              <w:spacing w:after="0"/>
              <w:rPr>
                <w:sz w:val="20"/>
                <w:szCs w:val="20"/>
                <w:color w:val="auto"/>
              </w:rPr>
            </w:pPr>
            <w:r>
              <w:rPr>
                <w:rFonts w:ascii="Arial" w:cs="Arial" w:eastAsia="Arial" w:hAnsi="Arial"/>
                <w:sz w:val="18"/>
                <w:szCs w:val="18"/>
                <w:color w:val="auto"/>
              </w:rPr>
              <w:t>Short term deposits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31,043</w:t>
            </w: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Restricted deposit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w:t>
            </w:r>
          </w:p>
        </w:tc>
      </w:tr>
      <w:tr>
        <w:trPr>
          <w:trHeight w:val="215"/>
        </w:trPr>
        <w:tc>
          <w:tcPr>
            <w:tcW w:w="86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63,194</w:t>
            </w: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22,737</w:t>
            </w:r>
          </w:p>
        </w:tc>
      </w:tr>
      <w:tr>
        <w:trPr>
          <w:trHeight w:val="215"/>
        </w:trPr>
        <w:tc>
          <w:tcPr>
            <w:tcW w:w="8620" w:type="dxa"/>
            <w:vAlign w:val="bottom"/>
          </w:tcPr>
          <w:p>
            <w:pPr>
              <w:spacing w:after="0"/>
              <w:rPr>
                <w:sz w:val="20"/>
                <w:szCs w:val="20"/>
                <w:color w:val="auto"/>
              </w:rPr>
            </w:pPr>
            <w:r>
              <w:rPr>
                <w:rFonts w:ascii="Arial" w:cs="Arial" w:eastAsia="Arial" w:hAnsi="Arial"/>
                <w:sz w:val="18"/>
                <w:szCs w:val="18"/>
                <w:color w:val="auto"/>
              </w:rPr>
              <w:t>Other receivables and prepaid expenses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2,649</w:t>
            </w: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7,897</w:t>
            </w:r>
          </w:p>
        </w:tc>
      </w:tr>
      <w:tr>
        <w:trPr>
          <w:trHeight w:val="27"/>
        </w:trPr>
        <w:tc>
          <w:tcPr>
            <w:tcW w:w="8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1"/>
        </w:trPr>
        <w:tc>
          <w:tcPr>
            <w:tcW w:w="862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144,719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143,290</w:t>
            </w:r>
          </w:p>
        </w:tc>
      </w:tr>
      <w:tr>
        <w:trPr>
          <w:trHeight w:val="215"/>
        </w:trPr>
        <w:tc>
          <w:tcPr>
            <w:tcW w:w="8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620" w:type="dxa"/>
            <w:vAlign w:val="bottom"/>
          </w:tcPr>
          <w:p>
            <w:pPr>
              <w:spacing w:after="0"/>
              <w:rPr>
                <w:sz w:val="20"/>
                <w:szCs w:val="20"/>
                <w:color w:val="auto"/>
              </w:rPr>
            </w:pPr>
            <w:r>
              <w:rPr>
                <w:rFonts w:ascii="Arial" w:cs="Arial" w:eastAsia="Arial" w:hAnsi="Arial"/>
                <w:sz w:val="18"/>
                <w:szCs w:val="18"/>
                <w:color w:val="auto"/>
              </w:rPr>
              <w:t>LONG-TERM ASSETS: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Restricted deposit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8620" w:type="dxa"/>
            <w:vAlign w:val="bottom"/>
          </w:tcPr>
          <w:p>
            <w:pPr>
              <w:spacing w:after="0"/>
              <w:rPr>
                <w:sz w:val="20"/>
                <w:szCs w:val="20"/>
                <w:color w:val="auto"/>
              </w:rPr>
            </w:pPr>
            <w:r>
              <w:rPr>
                <w:rFonts w:ascii="Arial" w:cs="Arial" w:eastAsia="Arial" w:hAnsi="Arial"/>
                <w:sz w:val="18"/>
                <w:szCs w:val="18"/>
                <w:color w:val="auto"/>
              </w:rPr>
              <w:t>Severance pay fund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w:t>
            </w:r>
          </w:p>
        </w:tc>
      </w:tr>
      <w:tr>
        <w:trPr>
          <w:trHeight w:val="221"/>
        </w:trPr>
        <w:tc>
          <w:tcPr>
            <w:tcW w:w="86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1,135</w:t>
            </w:r>
          </w:p>
        </w:tc>
      </w:tr>
      <w:tr>
        <w:trPr>
          <w:trHeight w:val="255"/>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08"/>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5,002</w:t>
            </w:r>
          </w:p>
        </w:tc>
      </w:tr>
      <w:tr>
        <w:trPr>
          <w:trHeight w:val="27"/>
        </w:trPr>
        <w:tc>
          <w:tcPr>
            <w:tcW w:w="8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1"/>
        </w:trPr>
        <w:tc>
          <w:tcPr>
            <w:tcW w:w="862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34,495</w:t>
            </w:r>
          </w:p>
        </w:tc>
      </w:tr>
      <w:tr>
        <w:trPr>
          <w:trHeight w:val="215"/>
        </w:trPr>
        <w:tc>
          <w:tcPr>
            <w:tcW w:w="8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6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189,844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184,525</w:t>
            </w: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620" w:type="dxa"/>
            <w:vAlign w:val="bottom"/>
          </w:tcPr>
          <w:p>
            <w:pPr>
              <w:ind w:left="16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620" w:type="dxa"/>
            <w:vAlign w:val="bottom"/>
          </w:tcPr>
          <w:p>
            <w:pPr>
              <w:spacing w:after="0"/>
              <w:rPr>
                <w:sz w:val="20"/>
                <w:szCs w:val="20"/>
                <w:color w:val="auto"/>
              </w:rPr>
            </w:pPr>
            <w:r>
              <w:rPr>
                <w:rFonts w:ascii="Arial" w:cs="Arial" w:eastAsia="Arial" w:hAnsi="Arial"/>
                <w:sz w:val="18"/>
                <w:szCs w:val="18"/>
                <w:color w:val="auto"/>
              </w:rPr>
              <w:t>Trade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7,813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5,857</w:t>
            </w: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11,370</w:t>
            </w:r>
          </w:p>
        </w:tc>
      </w:tr>
      <w:tr>
        <w:trPr>
          <w:trHeight w:val="221"/>
        </w:trPr>
        <w:tc>
          <w:tcPr>
            <w:tcW w:w="862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14,277</w:t>
            </w:r>
          </w:p>
        </w:tc>
      </w:tr>
      <w:tr>
        <w:trPr>
          <w:trHeight w:val="221"/>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42,720</w:t>
            </w:r>
          </w:p>
        </w:tc>
        <w:tc>
          <w:tcPr>
            <w:tcW w:w="1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31,504</w:t>
            </w:r>
          </w:p>
        </w:tc>
        <w:tc>
          <w:tcPr>
            <w:tcW w:w="80" w:type="dxa"/>
            <w:vAlign w:val="bottom"/>
            <w:shd w:val="clear" w:color="auto" w:fill="CCEEFF"/>
          </w:tcPr>
          <w:p>
            <w:pPr>
              <w:spacing w:after="0"/>
              <w:rPr>
                <w:sz w:val="19"/>
                <w:szCs w:val="19"/>
                <w:color w:val="auto"/>
              </w:rPr>
            </w:pPr>
          </w:p>
        </w:tc>
      </w:tr>
      <w:tr>
        <w:trPr>
          <w:trHeight w:val="215"/>
        </w:trPr>
        <w:tc>
          <w:tcPr>
            <w:tcW w:w="86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620" w:type="dxa"/>
            <w:vAlign w:val="bottom"/>
          </w:tcPr>
          <w:p>
            <w:pPr>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3,878</w:t>
            </w:r>
          </w:p>
        </w:tc>
      </w:tr>
      <w:tr>
        <w:trPr>
          <w:trHeight w:val="21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w:t>
            </w:r>
          </w:p>
        </w:tc>
      </w:tr>
      <w:tr>
        <w:trPr>
          <w:trHeight w:val="221"/>
        </w:trPr>
        <w:tc>
          <w:tcPr>
            <w:tcW w:w="862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5,267</w:t>
            </w:r>
          </w:p>
        </w:tc>
      </w:tr>
      <w:tr>
        <w:trPr>
          <w:trHeight w:val="255"/>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08"/>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1"/>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135,903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143,129</w:t>
            </w:r>
          </w:p>
        </w:tc>
      </w:tr>
      <w:tr>
        <w:trPr>
          <w:trHeight w:val="215"/>
        </w:trPr>
        <w:tc>
          <w:tcPr>
            <w:tcW w:w="86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189,844</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184,525</w:t>
            </w:r>
          </w:p>
        </w:tc>
      </w:tr>
      <w:tr>
        <w:trPr>
          <w:trHeight w:val="416"/>
        </w:trPr>
        <w:tc>
          <w:tcPr>
            <w:tcW w:w="86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r>
    </w:tbl>
    <w:p>
      <w:pPr>
        <w:sectPr>
          <w:pgSz w:w="12240" w:h="15840" w:orient="portrait"/>
          <w:cols w:equalWidth="0" w:num="1">
            <w:col w:w="11160"/>
          </w:cols>
          <w:pgMar w:left="520" w:top="0" w:right="56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TABLE - 4</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ALLOT LTD.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ITS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Year Ended</w:t>
            </w:r>
          </w:p>
        </w:tc>
      </w:tr>
      <w:tr>
        <w:trPr>
          <w:trHeight w:val="240"/>
        </w:trPr>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r>
      <w:tr>
        <w:trPr>
          <w:trHeight w:val="221"/>
        </w:trPr>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9"/>
              </w:rPr>
              <w:t>(Unaudited)</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8"/>
              </w:rPr>
              <w:t>(Audited)</w:t>
            </w:r>
          </w:p>
        </w:tc>
        <w:tc>
          <w:tcPr>
            <w:tcW w:w="80" w:type="dxa"/>
            <w:vAlign w:val="bottom"/>
          </w:tcPr>
          <w:p>
            <w:pPr>
              <w:spacing w:after="0"/>
              <w:rPr>
                <w:sz w:val="19"/>
                <w:szCs w:val="19"/>
                <w:color w:val="auto"/>
              </w:rPr>
            </w:pPr>
          </w:p>
        </w:tc>
      </w:tr>
      <w:tr>
        <w:trPr>
          <w:trHeight w:val="215"/>
        </w:trPr>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26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8"/>
                <w:szCs w:val="18"/>
                <w:color w:val="auto"/>
                <w:w w:val="91"/>
              </w:rPr>
              <w:t>Cash flows from operating activities:</w:t>
            </w:r>
          </w:p>
        </w:tc>
        <w:tc>
          <w:tcPr>
            <w:tcW w:w="3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right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(4,340)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(10,415)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(18,072)</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2,191</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related to options granted to employees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3,366</w:t>
            </w: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1,630</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1,477</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loss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accrued severance pay, net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assets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00"/>
        </w:trPr>
        <w:tc>
          <w:tcPr>
            <w:tcW w:w="5940" w:type="dxa"/>
            <w:vAlign w:val="bottom"/>
            <w:gridSpan w:val="3"/>
          </w:tcPr>
          <w:p>
            <w:pPr>
              <w:spacing w:after="0" w:line="201" w:lineRule="exact"/>
              <w:rPr>
                <w:sz w:val="20"/>
                <w:szCs w:val="20"/>
                <w:color w:val="auto"/>
              </w:rPr>
            </w:pPr>
            <w:r>
              <w:rPr>
                <w:rFonts w:ascii="Arial" w:cs="Arial" w:eastAsia="Arial" w:hAnsi="Arial"/>
                <w:sz w:val="18"/>
                <w:szCs w:val="18"/>
                <w:color w:val="auto"/>
              </w:rPr>
              <w:t>Decrease in accrued interest and amortization of premium on marketable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5940" w:type="dxa"/>
            <w:vAlign w:val="bottom"/>
            <w:gridSpan w:val="3"/>
          </w:tcPr>
          <w:p>
            <w:pPr>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913</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trade receivables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1,421</w:t>
            </w: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(1,101)</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1,350</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inventories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w:t>
            </w: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long-term deferred taxes, net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trade payables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2,582</w:t>
            </w: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(998)</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(1,178)</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1,140</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deferred revenues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w:t>
            </w:r>
          </w:p>
        </w:tc>
      </w:tr>
      <w:tr>
        <w:trPr>
          <w:trHeight w:val="221"/>
        </w:trPr>
        <w:tc>
          <w:tcPr>
            <w:tcW w:w="5940" w:type="dxa"/>
            <w:vAlign w:val="bottom"/>
            <w:gridSpan w:val="3"/>
          </w:tcPr>
          <w:p>
            <w:pPr>
              <w:spacing w:after="0"/>
              <w:rPr>
                <w:sz w:val="20"/>
                <w:szCs w:val="20"/>
                <w:color w:val="auto"/>
              </w:rPr>
            </w:pPr>
            <w:r>
              <w:rPr>
                <w:rFonts w:ascii="Arial" w:cs="Arial" w:eastAsia="Arial" w:hAnsi="Arial"/>
                <w:sz w:val="18"/>
                <w:szCs w:val="18"/>
                <w:color w:val="auto"/>
              </w:rPr>
              <w:t>Increase in other payables and accrued expenses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6,906</w:t>
            </w: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3,449</w:t>
            </w:r>
          </w:p>
        </w:tc>
      </w:tr>
      <w:tr>
        <w:trPr>
          <w:trHeight w:val="221"/>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9"/>
                <w:szCs w:val="19"/>
                <w:color w:val="auto"/>
              </w:rPr>
            </w:pPr>
          </w:p>
        </w:tc>
      </w:tr>
      <w:tr>
        <w:trPr>
          <w:trHeight w:val="215"/>
        </w:trPr>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5"/>
        </w:trPr>
        <w:tc>
          <w:tcPr>
            <w:tcW w:w="26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w w:val="92"/>
              </w:rPr>
              <w:t>Cash flows from investing activities:</w:t>
            </w:r>
          </w:p>
        </w:tc>
        <w:tc>
          <w:tcPr>
            <w:tcW w:w="330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right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Increase in restricted deposit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Redemption of (Investment in) short-term deposits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(3,485)</w:t>
            </w: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(2,833)</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marketable securities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(9,584)</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(34,777)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(30,123)</w:t>
            </w: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Proceeds from redemption or sale of marketable securities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11,075</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32,651</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26,488</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1"/>
        </w:trPr>
        <w:tc>
          <w:tcPr>
            <w:tcW w:w="594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(10,342)</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(8,118)</w:t>
            </w:r>
          </w:p>
        </w:tc>
      </w:tr>
      <w:tr>
        <w:trPr>
          <w:trHeight w:val="215"/>
        </w:trPr>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4"/>
        </w:trPr>
        <w:tc>
          <w:tcPr>
            <w:tcW w:w="5940" w:type="dxa"/>
            <w:vAlign w:val="bottom"/>
            <w:gridSpan w:val="3"/>
          </w:tcPr>
          <w:p>
            <w:pPr>
              <w:spacing w:after="0" w:line="175" w:lineRule="exact"/>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w:t>
            </w:r>
          </w:p>
        </w:tc>
      </w:tr>
      <w:tr>
        <w:trPr>
          <w:trHeight w:val="27"/>
        </w:trPr>
        <w:tc>
          <w:tcPr>
            <w:tcW w:w="2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1"/>
        </w:trPr>
        <w:tc>
          <w:tcPr>
            <w:tcW w:w="594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r>
      <w:tr>
        <w:trPr>
          <w:trHeight w:val="215"/>
        </w:trPr>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(8,986)</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994</w:t>
            </w: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(7,984)</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15,342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23,326</w:t>
            </w:r>
          </w:p>
        </w:tc>
      </w:tr>
      <w:tr>
        <w:trPr>
          <w:trHeight w:val="27"/>
        </w:trPr>
        <w:tc>
          <w:tcPr>
            <w:tcW w:w="2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16,336</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15,342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16,336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15,342</w:t>
            </w:r>
          </w:p>
        </w:tc>
      </w:tr>
      <w:tr>
        <w:trPr>
          <w:trHeight w:val="20"/>
        </w:trPr>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4"/>
        </w:trPr>
        <w:tc>
          <w:tcPr>
            <w:tcW w:w="2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61"/>
        </w:trPr>
        <w:tc>
          <w:tcPr>
            <w:tcW w:w="2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2240" w:h="15840" w:orient="portrait"/>
      <w:cols w:equalWidth="0" w:num="1">
        <w:col w:w="11160"/>
      </w:cols>
      <w:pgMar w:left="520" w:top="0"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2019-12-15T14:03:22Z</dcterms:created>
  <dcterms:modified xsi:type="dcterms:W3CDTF">2019-12-15T14:03:22Z</dcterms:modified>
</cp:coreProperties>
</file>