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7"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0"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237" w:lineRule="exact"/>
        <w:rPr>
          <w:sz w:val="24"/>
          <w:szCs w:val="24"/>
          <w:color w:val="auto"/>
        </w:rPr>
      </w:pPr>
    </w:p>
    <w:tbl>
      <w:tblPr>
        <w:tblLayout w:type="fixed"/>
        <w:tblInd w:w="300" w:type="dxa"/>
        <w:tblCellMar>
          <w:top w:w="0" w:type="dxa"/>
          <w:left w:w="0" w:type="dxa"/>
          <w:bottom w:w="0" w:type="dxa"/>
          <w:right w:w="0" w:type="dxa"/>
        </w:tblCellMar>
      </w:tblPr>
      <w:tr>
        <w:trPr>
          <w:trHeight w:val="308"/>
        </w:trPr>
        <w:tc>
          <w:tcPr>
            <w:tcW w:w="3260" w:type="dxa"/>
            <w:vAlign w:val="bottom"/>
          </w:tcPr>
          <w:p>
            <w:pPr>
              <w:spacing w:after="0"/>
              <w:rPr>
                <w:sz w:val="24"/>
                <w:szCs w:val="24"/>
                <w:color w:val="auto"/>
              </w:rPr>
            </w:pPr>
          </w:p>
        </w:tc>
        <w:tc>
          <w:tcPr>
            <w:tcW w:w="6780" w:type="dxa"/>
            <w:vAlign w:val="bottom"/>
          </w:tcPr>
          <w:p>
            <w:pPr>
              <w:jc w:val="center"/>
              <w:ind w:right="2543"/>
              <w:spacing w:after="0"/>
              <w:rPr>
                <w:sz w:val="20"/>
                <w:szCs w:val="20"/>
                <w:color w:val="auto"/>
              </w:rPr>
            </w:pPr>
            <w:r>
              <w:rPr>
                <w:rFonts w:ascii="Times New Roman" w:cs="Times New Roman" w:eastAsia="Times New Roman" w:hAnsi="Times New Roman"/>
                <w:sz w:val="25"/>
                <w:szCs w:val="25"/>
                <w:b w:val="1"/>
                <w:bCs w:val="1"/>
                <w:color w:val="auto"/>
              </w:rPr>
              <w:t>Form SD</w:t>
            </w:r>
          </w:p>
        </w:tc>
      </w:tr>
      <w:tr>
        <w:trPr>
          <w:trHeight w:val="234"/>
        </w:trPr>
        <w:tc>
          <w:tcPr>
            <w:tcW w:w="3260" w:type="dxa"/>
            <w:vAlign w:val="bottom"/>
          </w:tcPr>
          <w:p>
            <w:pPr>
              <w:spacing w:after="0"/>
              <w:rPr>
                <w:sz w:val="20"/>
                <w:szCs w:val="20"/>
                <w:color w:val="auto"/>
              </w:rPr>
            </w:pPr>
          </w:p>
        </w:tc>
        <w:tc>
          <w:tcPr>
            <w:tcW w:w="6780" w:type="dxa"/>
            <w:vAlign w:val="bottom"/>
          </w:tcPr>
          <w:p>
            <w:pPr>
              <w:jc w:val="center"/>
              <w:ind w:right="2543"/>
              <w:spacing w:after="0"/>
              <w:rPr>
                <w:sz w:val="20"/>
                <w:szCs w:val="20"/>
                <w:color w:val="auto"/>
              </w:rPr>
            </w:pPr>
            <w:r>
              <w:rPr>
                <w:rFonts w:ascii="Times New Roman" w:cs="Times New Roman" w:eastAsia="Times New Roman" w:hAnsi="Times New Roman"/>
                <w:sz w:val="18"/>
                <w:szCs w:val="18"/>
                <w:color w:val="auto"/>
                <w:w w:val="99"/>
              </w:rPr>
              <w:t>__________________</w:t>
            </w:r>
          </w:p>
        </w:tc>
      </w:tr>
      <w:tr>
        <w:trPr>
          <w:trHeight w:val="459"/>
        </w:trPr>
        <w:tc>
          <w:tcPr>
            <w:tcW w:w="3260" w:type="dxa"/>
            <w:vAlign w:val="bottom"/>
          </w:tcPr>
          <w:p>
            <w:pPr>
              <w:spacing w:after="0"/>
              <w:rPr>
                <w:sz w:val="24"/>
                <w:szCs w:val="24"/>
                <w:color w:val="auto"/>
              </w:rPr>
            </w:pPr>
          </w:p>
        </w:tc>
        <w:tc>
          <w:tcPr>
            <w:tcW w:w="6780" w:type="dxa"/>
            <w:vAlign w:val="bottom"/>
          </w:tcPr>
          <w:p>
            <w:pPr>
              <w:jc w:val="center"/>
              <w:ind w:right="2563"/>
              <w:spacing w:after="0"/>
              <w:rPr>
                <w:sz w:val="20"/>
                <w:szCs w:val="20"/>
                <w:color w:val="auto"/>
              </w:rPr>
            </w:pPr>
            <w:r>
              <w:rPr>
                <w:rFonts w:ascii="Times New Roman" w:cs="Times New Roman" w:eastAsia="Times New Roman" w:hAnsi="Times New Roman"/>
                <w:sz w:val="18"/>
                <w:szCs w:val="18"/>
                <w:b w:val="1"/>
                <w:bCs w:val="1"/>
                <w:color w:val="auto"/>
                <w:w w:val="99"/>
              </w:rPr>
              <w:t>Specialized Disclosure Report</w:t>
            </w:r>
          </w:p>
        </w:tc>
      </w:tr>
      <w:tr>
        <w:trPr>
          <w:trHeight w:val="576"/>
        </w:trPr>
        <w:tc>
          <w:tcPr>
            <w:tcW w:w="3260" w:type="dxa"/>
            <w:vAlign w:val="bottom"/>
          </w:tcPr>
          <w:p>
            <w:pPr>
              <w:spacing w:after="0"/>
              <w:rPr>
                <w:sz w:val="24"/>
                <w:szCs w:val="24"/>
                <w:color w:val="auto"/>
              </w:rPr>
            </w:pPr>
          </w:p>
        </w:tc>
        <w:tc>
          <w:tcPr>
            <w:tcW w:w="6780" w:type="dxa"/>
            <w:vAlign w:val="bottom"/>
          </w:tcPr>
          <w:p>
            <w:pPr>
              <w:jc w:val="center"/>
              <w:ind w:right="2563"/>
              <w:spacing w:after="0"/>
              <w:rPr>
                <w:sz w:val="20"/>
                <w:szCs w:val="20"/>
                <w:color w:val="auto"/>
              </w:rPr>
            </w:pPr>
            <w:r>
              <w:rPr>
                <w:rFonts w:ascii="Times New Roman" w:cs="Times New Roman" w:eastAsia="Times New Roman" w:hAnsi="Times New Roman"/>
                <w:sz w:val="29"/>
                <w:szCs w:val="29"/>
                <w:b w:val="1"/>
                <w:bCs w:val="1"/>
                <w:color w:val="auto"/>
                <w:w w:val="99"/>
              </w:rPr>
              <w:t>Allot Ltd.</w:t>
            </w:r>
          </w:p>
        </w:tc>
      </w:tr>
      <w:tr>
        <w:trPr>
          <w:trHeight w:val="234"/>
        </w:trPr>
        <w:tc>
          <w:tcPr>
            <w:tcW w:w="3260" w:type="dxa"/>
            <w:vAlign w:val="bottom"/>
          </w:tcPr>
          <w:p>
            <w:pPr>
              <w:spacing w:after="0"/>
              <w:rPr>
                <w:sz w:val="20"/>
                <w:szCs w:val="20"/>
                <w:color w:val="auto"/>
              </w:rPr>
            </w:pPr>
          </w:p>
        </w:tc>
        <w:tc>
          <w:tcPr>
            <w:tcW w:w="6780" w:type="dxa"/>
            <w:vAlign w:val="bottom"/>
          </w:tcPr>
          <w:p>
            <w:pPr>
              <w:jc w:val="center"/>
              <w:ind w:right="2503"/>
              <w:spacing w:after="0"/>
              <w:rPr>
                <w:sz w:val="20"/>
                <w:szCs w:val="20"/>
                <w:color w:val="auto"/>
              </w:rPr>
            </w:pPr>
            <w:r>
              <w:rPr>
                <w:rFonts w:ascii="Times New Roman" w:cs="Times New Roman" w:eastAsia="Times New Roman" w:hAnsi="Times New Roman"/>
                <w:sz w:val="18"/>
                <w:szCs w:val="18"/>
                <w:color w:val="auto"/>
                <w:w w:val="99"/>
              </w:rPr>
              <w:t>(Exact name of the registrant as specified in its charter)</w:t>
            </w:r>
          </w:p>
        </w:tc>
      </w:tr>
      <w:tr>
        <w:trPr>
          <w:trHeight w:val="427"/>
        </w:trPr>
        <w:tc>
          <w:tcPr>
            <w:tcW w:w="3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6780" w:type="dxa"/>
            <w:vAlign w:val="bottom"/>
          </w:tcPr>
          <w:p>
            <w:pPr>
              <w:jc w:val="right"/>
              <w:ind w:right="483"/>
              <w:spacing w:after="0"/>
              <w:rPr>
                <w:sz w:val="20"/>
                <w:szCs w:val="20"/>
                <w:color w:val="auto"/>
              </w:rPr>
            </w:pPr>
            <w:r>
              <w:rPr>
                <w:rFonts w:ascii="Times New Roman" w:cs="Times New Roman" w:eastAsia="Times New Roman" w:hAnsi="Times New Roman"/>
                <w:sz w:val="18"/>
                <w:szCs w:val="18"/>
                <w:b w:val="1"/>
                <w:bCs w:val="1"/>
                <w:color w:val="auto"/>
              </w:rPr>
              <w:t>001-33129</w:t>
            </w:r>
          </w:p>
        </w:tc>
      </w:tr>
      <w:tr>
        <w:trPr>
          <w:trHeight w:val="234"/>
        </w:trPr>
        <w:tc>
          <w:tcPr>
            <w:tcW w:w="3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6780" w:type="dxa"/>
            <w:vAlign w:val="bottom"/>
          </w:tcPr>
          <w:p>
            <w:pPr>
              <w:jc w:val="center"/>
              <w:ind w:left="4763"/>
              <w:spacing w:after="0"/>
              <w:rPr>
                <w:sz w:val="20"/>
                <w:szCs w:val="20"/>
                <w:color w:val="auto"/>
              </w:rPr>
            </w:pPr>
            <w:r>
              <w:rPr>
                <w:rFonts w:ascii="Times New Roman" w:cs="Times New Roman" w:eastAsia="Times New Roman" w:hAnsi="Times New Roman"/>
                <w:sz w:val="18"/>
                <w:szCs w:val="18"/>
                <w:color w:val="auto"/>
              </w:rPr>
              <w:t>(Commission file number)</w:t>
            </w:r>
          </w:p>
        </w:tc>
      </w:tr>
      <w:tr>
        <w:trPr>
          <w:trHeight w:val="437"/>
        </w:trPr>
        <w:tc>
          <w:tcPr>
            <w:tcW w:w="3260" w:type="dxa"/>
            <w:vAlign w:val="bottom"/>
          </w:tcPr>
          <w:p>
            <w:pPr>
              <w:spacing w:after="0"/>
              <w:rPr>
                <w:sz w:val="24"/>
                <w:szCs w:val="24"/>
                <w:color w:val="auto"/>
              </w:rPr>
            </w:pPr>
          </w:p>
        </w:tc>
        <w:tc>
          <w:tcPr>
            <w:tcW w:w="6780" w:type="dxa"/>
            <w:vAlign w:val="bottom"/>
          </w:tcPr>
          <w:p>
            <w:pPr>
              <w:jc w:val="center"/>
              <w:ind w:right="2563"/>
              <w:spacing w:after="0"/>
              <w:rPr>
                <w:sz w:val="20"/>
                <w:szCs w:val="20"/>
                <w:color w:val="auto"/>
              </w:rPr>
            </w:pPr>
            <w:r>
              <w:rPr>
                <w:rFonts w:ascii="Times New Roman" w:cs="Times New Roman" w:eastAsia="Times New Roman" w:hAnsi="Times New Roman"/>
                <w:sz w:val="18"/>
                <w:szCs w:val="18"/>
                <w:b w:val="1"/>
                <w:bCs w:val="1"/>
                <w:color w:val="auto"/>
                <w:w w:val="99"/>
              </w:rPr>
              <w:t>22 Hanagar Street</w:t>
            </w:r>
          </w:p>
        </w:tc>
      </w:tr>
      <w:tr>
        <w:trPr>
          <w:trHeight w:val="230"/>
        </w:trPr>
        <w:tc>
          <w:tcPr>
            <w:tcW w:w="3260" w:type="dxa"/>
            <w:vAlign w:val="bottom"/>
          </w:tcPr>
          <w:p>
            <w:pPr>
              <w:spacing w:after="0"/>
              <w:rPr>
                <w:sz w:val="19"/>
                <w:szCs w:val="19"/>
                <w:color w:val="auto"/>
              </w:rPr>
            </w:pPr>
          </w:p>
        </w:tc>
        <w:tc>
          <w:tcPr>
            <w:tcW w:w="6780" w:type="dxa"/>
            <w:vAlign w:val="bottom"/>
          </w:tcPr>
          <w:p>
            <w:pPr>
              <w:jc w:val="center"/>
              <w:ind w:right="2563"/>
              <w:spacing w:after="0"/>
              <w:rPr>
                <w:sz w:val="20"/>
                <w:szCs w:val="20"/>
                <w:color w:val="auto"/>
              </w:rPr>
            </w:pPr>
            <w:r>
              <w:rPr>
                <w:rFonts w:ascii="Times New Roman" w:cs="Times New Roman" w:eastAsia="Times New Roman" w:hAnsi="Times New Roman"/>
                <w:sz w:val="18"/>
                <w:szCs w:val="18"/>
                <w:b w:val="1"/>
                <w:bCs w:val="1"/>
                <w:color w:val="auto"/>
                <w:w w:val="99"/>
              </w:rPr>
              <w:t>Neve Ne’eman Industrial Zone B</w:t>
            </w:r>
          </w:p>
        </w:tc>
      </w:tr>
      <w:tr>
        <w:trPr>
          <w:trHeight w:val="216"/>
        </w:trPr>
        <w:tc>
          <w:tcPr>
            <w:tcW w:w="3260" w:type="dxa"/>
            <w:vAlign w:val="bottom"/>
          </w:tcPr>
          <w:p>
            <w:pPr>
              <w:spacing w:after="0"/>
              <w:rPr>
                <w:sz w:val="18"/>
                <w:szCs w:val="18"/>
                <w:color w:val="auto"/>
              </w:rPr>
            </w:pPr>
          </w:p>
        </w:tc>
        <w:tc>
          <w:tcPr>
            <w:tcW w:w="6780" w:type="dxa"/>
            <w:vAlign w:val="bottom"/>
          </w:tcPr>
          <w:p>
            <w:pPr>
              <w:jc w:val="center"/>
              <w:ind w:right="2543"/>
              <w:spacing w:after="0"/>
              <w:rPr>
                <w:sz w:val="20"/>
                <w:szCs w:val="20"/>
                <w:color w:val="auto"/>
              </w:rPr>
            </w:pPr>
            <w:r>
              <w:rPr>
                <w:rFonts w:ascii="Times New Roman" w:cs="Times New Roman" w:eastAsia="Times New Roman" w:hAnsi="Times New Roman"/>
                <w:sz w:val="18"/>
                <w:szCs w:val="18"/>
                <w:b w:val="1"/>
                <w:bCs w:val="1"/>
                <w:color w:val="auto"/>
                <w:w w:val="99"/>
              </w:rPr>
              <w:t>Hod-Hasharon 4501317</w:t>
            </w:r>
          </w:p>
        </w:tc>
      </w:tr>
      <w:tr>
        <w:trPr>
          <w:trHeight w:val="233"/>
        </w:trPr>
        <w:tc>
          <w:tcPr>
            <w:tcW w:w="3260" w:type="dxa"/>
            <w:vAlign w:val="bottom"/>
          </w:tcPr>
          <w:p>
            <w:pPr>
              <w:spacing w:after="0"/>
              <w:rPr>
                <w:sz w:val="20"/>
                <w:szCs w:val="20"/>
                <w:color w:val="auto"/>
              </w:rPr>
            </w:pPr>
          </w:p>
        </w:tc>
        <w:tc>
          <w:tcPr>
            <w:tcW w:w="6780" w:type="dxa"/>
            <w:vAlign w:val="bottom"/>
          </w:tcPr>
          <w:p>
            <w:pPr>
              <w:jc w:val="center"/>
              <w:ind w:right="2563"/>
              <w:spacing w:after="0"/>
              <w:rPr>
                <w:sz w:val="20"/>
                <w:szCs w:val="20"/>
                <w:color w:val="auto"/>
              </w:rPr>
            </w:pPr>
            <w:r>
              <w:rPr>
                <w:rFonts w:ascii="Times New Roman" w:cs="Times New Roman" w:eastAsia="Times New Roman" w:hAnsi="Times New Roman"/>
                <w:sz w:val="18"/>
                <w:szCs w:val="18"/>
                <w:b w:val="1"/>
                <w:bCs w:val="1"/>
                <w:color w:val="auto"/>
                <w:w w:val="99"/>
              </w:rPr>
              <w:t>Israel</w:t>
            </w:r>
          </w:p>
        </w:tc>
      </w:tr>
      <w:tr>
        <w:trPr>
          <w:trHeight w:val="234"/>
        </w:trPr>
        <w:tc>
          <w:tcPr>
            <w:tcW w:w="3260" w:type="dxa"/>
            <w:vAlign w:val="bottom"/>
          </w:tcPr>
          <w:p>
            <w:pPr>
              <w:spacing w:after="0"/>
              <w:rPr>
                <w:sz w:val="20"/>
                <w:szCs w:val="20"/>
                <w:color w:val="auto"/>
              </w:rPr>
            </w:pPr>
          </w:p>
        </w:tc>
        <w:tc>
          <w:tcPr>
            <w:tcW w:w="6780" w:type="dxa"/>
            <w:vAlign w:val="bottom"/>
          </w:tcPr>
          <w:p>
            <w:pPr>
              <w:jc w:val="center"/>
              <w:ind w:right="2503"/>
              <w:spacing w:after="0"/>
              <w:rPr>
                <w:sz w:val="20"/>
                <w:szCs w:val="20"/>
                <w:color w:val="auto"/>
              </w:rPr>
            </w:pPr>
            <w:r>
              <w:rPr>
                <w:rFonts w:ascii="Times New Roman" w:cs="Times New Roman" w:eastAsia="Times New Roman" w:hAnsi="Times New Roman"/>
                <w:sz w:val="18"/>
                <w:szCs w:val="18"/>
                <w:color w:val="auto"/>
              </w:rPr>
              <w:t>(Address of principal executive offices and zip code)</w:t>
            </w:r>
          </w:p>
        </w:tc>
      </w:tr>
    </w:tbl>
    <w:p>
      <w:pPr>
        <w:spacing w:after="0" w:line="207"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Inbar Charash</w:t>
      </w:r>
    </w:p>
    <w:p>
      <w:pPr>
        <w:spacing w:after="0" w:line="31"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18"/>
          <w:szCs w:val="18"/>
          <w:b w:val="1"/>
          <w:bCs w:val="1"/>
          <w:color w:val="auto"/>
        </w:rPr>
        <w:t>VP Legal and General Counsel</w:t>
      </w:r>
    </w:p>
    <w:p>
      <w:pPr>
        <w:spacing w:after="0" w:line="23" w:lineRule="exact"/>
        <w:rPr>
          <w:sz w:val="24"/>
          <w:szCs w:val="24"/>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Tel +972-9-7619200</w:t>
      </w:r>
    </w:p>
    <w:p>
      <w:pPr>
        <w:spacing w:after="0" w:line="9"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52" w:lineRule="exact"/>
        <w:rPr>
          <w:sz w:val="24"/>
          <w:szCs w:val="24"/>
          <w:color w:val="auto"/>
        </w:rPr>
      </w:pPr>
    </w:p>
    <w:p>
      <w:pPr>
        <w:ind w:left="1520" w:hanging="648"/>
        <w:spacing w:after="0"/>
        <w:tabs>
          <w:tab w:leader="none" w:pos="152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Rule 13p-1 under the Securities Exchange Act (17 CFR 240.13p-1) for the reporting period from January 1 to December 31,2025 .</w:t>
      </w:r>
    </w:p>
    <w:p>
      <w:pPr>
        <w:spacing w:after="0" w:line="250" w:lineRule="exact"/>
        <w:rPr>
          <w:sz w:val="24"/>
          <w:szCs w:val="24"/>
          <w:color w:val="auto"/>
        </w:rPr>
      </w:pPr>
    </w:p>
    <w:p>
      <w:pPr>
        <w:ind w:left="1520" w:hanging="648"/>
        <w:spacing w:after="0"/>
        <w:tabs>
          <w:tab w:leader="none" w:pos="15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the fiscal year ended 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20"/>
          </w:cols>
          <w:pgMar w:left="320" w:top="745" w:right="6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243" w:lineRule="exact"/>
        <w:rPr>
          <w:sz w:val="20"/>
          <w:szCs w:val="20"/>
          <w:color w:val="auto"/>
        </w:rPr>
      </w:pPr>
    </w:p>
    <w:p>
      <w:pPr>
        <w:ind w:right="360"/>
        <w:spacing w:after="0" w:line="329" w:lineRule="auto"/>
        <w:rPr>
          <w:sz w:val="20"/>
          <w:szCs w:val="20"/>
          <w:color w:val="auto"/>
        </w:rPr>
      </w:pPr>
      <w:r>
        <w:rPr>
          <w:rFonts w:ascii="Times New Roman" w:cs="Times New Roman" w:eastAsia="Times New Roman" w:hAnsi="Times New Roman"/>
          <w:sz w:val="17"/>
          <w:szCs w:val="17"/>
          <w:color w:val="auto"/>
        </w:rPr>
        <w:t>This Specialized Disclosure Form (“Form SD”) of Allot Ltd. (the “Company,” “we,” or “us”) is filed pursuant to Rule 13p-1 (the “Rule”) promulgated under the Securities Exchange Act of 1934, as amended (the “Exchange Act”), for the reporting period from January 1 to December 31, 2025.</w:t>
      </w:r>
    </w:p>
    <w:p>
      <w:pPr>
        <w:spacing w:after="0" w:line="139"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8"/>
          <w:szCs w:val="18"/>
          <w:color w:val="auto"/>
        </w:rPr>
        <w:t>The Rule requires disclosure of certain information when a company manufactures or contracts to manufacture products (“Covered Products”) for which the minerals specified in the Rule are necessary to the functionality or production of those products. The specified minerals (“Conflict Minerals”) are gold, columbite-tantalite (coltan), cassiterite and wolframite, including their derivatives, which are limited to tantalum, tin and tungsten, or any other mineral or its derivatives determined by the U.S. Secretary of State to be financing conflict in the Democratic Republic of the Congo (“DRC”) or an adjoining country (collectively with the DRC, the “Covered Countries”).</w:t>
      </w:r>
    </w:p>
    <w:p>
      <w:pPr>
        <w:spacing w:after="0" w:line="18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For the Covered Products, the registrant must conduct in good faith a reasonable country of origin inquiry designed to determine whether any of the Conflict Minerals originated in the Covered Countries. If, based on such inquiry, a registrant knows or has reason to believe that any of the Conflict Minerals contained in its Covered Products originated or may have originated in a Covered Country and that such Conflict Minerals are not or may not be solely from recycled or scrap sources, the registrant must conduct due diligence with respect to the source and chain of custody of the Conflict Minerals to determine the origin of such Conflict Minerals and whether they directly or indirectly financed or benefited armed groups in the Covered Countries.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Conclusion Based on Reasonable Country of Origin Inquiry</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accordance with the Rule, the Company has concluded in good faith that during the year ended December 31, 2025:</w:t>
      </w:r>
    </w:p>
    <w:p>
      <w:pPr>
        <w:spacing w:after="0" w:line="239" w:lineRule="exact"/>
        <w:rPr>
          <w:sz w:val="20"/>
          <w:szCs w:val="20"/>
          <w:color w:val="auto"/>
        </w:rPr>
      </w:pPr>
    </w:p>
    <w:p>
      <w:pPr>
        <w:ind w:left="460" w:right="20" w:hanging="452"/>
        <w:spacing w:after="0" w:line="297"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of the Company’s operations manufactured, or contracted to manufacture, Covered Products for which the Conflict Minerals are necessary to the functionality or production of those products.</w:t>
      </w:r>
    </w:p>
    <w:p>
      <w:pPr>
        <w:spacing w:after="0" w:line="162" w:lineRule="exact"/>
        <w:rPr>
          <w:rFonts w:ascii="Times New Roman" w:cs="Times New Roman" w:eastAsia="Times New Roman" w:hAnsi="Times New Roman"/>
          <w:sz w:val="18"/>
          <w:szCs w:val="18"/>
          <w:color w:val="auto"/>
        </w:rPr>
      </w:pPr>
    </w:p>
    <w:p>
      <w:pPr>
        <w:ind w:left="460" w:right="120" w:hanging="452"/>
        <w:spacing w:after="0" w:line="270"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Company’s good faith reasonable country of origin inquiry regarding the Conflict Minerals, which was designed to determine whether any of the Conflict Minerals contained in the Company’s Covered Products originated in the Covered Countries and whether any of the Conflict Minerals contained in the Covered Products are or may be from recycled or scrap sources, the Company had reason to believe that (i) the Conflict Minerals contained in its Covered Products may have originated in the Covered Countries and (ii) such Conflict Minerals may not be from recycled or scrap sources.</w:t>
      </w:r>
    </w:p>
    <w:p>
      <w:pPr>
        <w:spacing w:after="0" w:line="186"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On the basis of these conclusions, the Company proceeded to exercise due diligence with respect to the source and chain of custody of the Conflict Minerals contained in its Covered Products. The Conflict Minerals Report describing the Company’s due diligence efforts is attached as Exhibit 1.01 to this Form SD for the reporting period from January 1 to December 31, 2025. This Conflict Minerals Report has not been subject to an independent private sector audit.</w:t>
      </w:r>
    </w:p>
    <w:p>
      <w:pPr>
        <w:spacing w:after="0" w:line="186" w:lineRule="exact"/>
        <w:rPr>
          <w:sz w:val="20"/>
          <w:szCs w:val="20"/>
          <w:color w:val="auto"/>
        </w:rPr>
      </w:pPr>
    </w:p>
    <w:p>
      <w:pPr>
        <w:ind w:right="80"/>
        <w:spacing w:after="0" w:line="270" w:lineRule="auto"/>
        <w:rPr>
          <w:sz w:val="20"/>
          <w:szCs w:val="20"/>
          <w:color w:val="auto"/>
        </w:rPr>
      </w:pPr>
      <w:r>
        <w:rPr>
          <w:rFonts w:ascii="Times New Roman" w:cs="Times New Roman" w:eastAsia="Times New Roman" w:hAnsi="Times New Roman"/>
          <w:sz w:val="18"/>
          <w:szCs w:val="18"/>
          <w:color w:val="auto"/>
        </w:rPr>
        <w:t>Countries of origin identified as a result of the Company’s reasonable country of origin inquiry include, to the extent known, Andorra, Australia, Austria, Belgium, Bolivia, Brazil, Canada, Chile, China, Colombia, Democratic Republic of the Congo, Czechia, Estonia, France, Germany, India, Indonesia, Italy, Japan, Kazakhstan, Lao People's Democratic Republic, Malaysia, Mexico, Myanmar, Netherlands, Peru, Philippines, Poland, Republic of Korea, Rwanda, Singapore, South Africa, Spain, Sweden, Switzerland, Taiwan, Thailand, Turkey, Uganda, United Republic of Tanzania, United States of America, Uzbekistan, and Vietnam.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i w:val="1"/>
          <w:iCs w:val="1"/>
          <w:color w:val="auto"/>
        </w:rPr>
        <w:t>Conflict Minerals Disclosure</w:t>
      </w:r>
    </w:p>
    <w:p>
      <w:pPr>
        <w:spacing w:after="0" w:line="24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 xml:space="preserve">A copy of the Company’s Conflict Minerals Report is filed as Exhibit 1.01 to this Form SD, and is publicly available on the Company’s website at </w:t>
      </w:r>
      <w:r>
        <w:rPr>
          <w:rFonts w:ascii="Times New Roman" w:cs="Times New Roman" w:eastAsia="Times New Roman" w:hAnsi="Times New Roman"/>
          <w:sz w:val="18"/>
          <w:szCs w:val="18"/>
          <w:u w:val="single" w:color="auto"/>
          <w:color w:val="auto"/>
        </w:rPr>
        <w:t>https://investors.allot.com/financial-information/sec-filings</w:t>
      </w:r>
      <w:r>
        <w:rPr>
          <w:rFonts w:ascii="Times New Roman" w:cs="Times New Roman" w:eastAsia="Times New Roman" w:hAnsi="Times New Roman"/>
          <w:sz w:val="18"/>
          <w:szCs w:val="18"/>
          <w:color w:val="auto"/>
        </w:rPr>
        <w:t>. Unless otherwise stated in this Form SD and the Conflict Minerals Report filed as Exhibit 1.01 hereto, any documents, third-party materials or references to websites (including the Company’s) are not incorporated by reference in, or considered to be a part of, this Form SD and the attached Conflict Minerals Report.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43"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8"/>
          <w:szCs w:val="18"/>
          <w:color w:val="auto"/>
        </w:rPr>
        <w:t>In addition to historical facts, this Form SD and the attached Conflict Minerals Report contain forward-looking statements within the meaning of Section 27A of the U.S. Securities Act of 1933, as amended, Section 21E of the Exchange Act and the safe harbor provisions of the U.S. Private Securities Litigation Reform Act of 1995. We have based these forward-looking statements on our current expectations and projections about future events. Forward-looking statements include all statements that are not historical facts and can be identified by terms such as “anticipates,” “believes,” “could,” “seeks,” “estimates,” “expects,” “intends,” “may,” “plans,” “potential,” “predicts,” “projects,” “should,” “will,” “would” or similar expressions that convey uncertainty of future events or outcomes and the negatives of those terms. All forward-looking statements in this Form SD and the attached Conflict Minerals Report reflect our current views about future events, are based on assumptions and are subject to risks and uncertainties that could cause our actual results to differ materially from future results expressed or implied by the forward-looking statements. Many of these factors are beyond our ability to control or predict. Important factors that could cause actual outcomes to differ materially from those contained in any forward-looking statement include those described in the Company’s reports, including its annual report on Form 20-F for the fiscal year ended December 31, 2025, and other forms filed by the Company with or furnished by the Company to the Securities and Exchange Commission. You should not put undue reliance on any forward-looking statements. Unless we are required to do so under U.S. federal securities laws or other applicable laws, we do not intend to update or revise any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specified in Section 3, Item 3.01 of this Form SD, the Company is hereby filing its Conflict Minerals Report as Exhibit 1.01 to this Form SD.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40" w:type="dxa"/>
            <w:vAlign w:val="bottom"/>
            <w:tcBorders>
              <w:right w:val="single" w:sz="8" w:color="auto"/>
            </w:tcBorders>
          </w:tcPr>
          <w:p>
            <w:pPr>
              <w:spacing w:after="0"/>
              <w:rPr>
                <w:sz w:val="24"/>
                <w:szCs w:val="24"/>
                <w:color w:val="auto"/>
              </w:rPr>
            </w:pPr>
          </w:p>
        </w:tc>
        <w:tc>
          <w:tcPr>
            <w:tcW w:w="1120" w:type="dxa"/>
            <w:vAlign w:val="bottom"/>
            <w:tcBorders>
              <w:top w:val="single" w:sz="8" w:color="auto"/>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3640" w:type="dxa"/>
            <w:vAlign w:val="bottom"/>
            <w:tcBorders>
              <w:top w:val="single" w:sz="8" w:color="auto"/>
              <w:bottom w:val="single" w:sz="8" w:color="auto"/>
            </w:tcBorders>
          </w:tcPr>
          <w:p>
            <w:pPr>
              <w:spacing w:after="0"/>
              <w:rPr>
                <w:sz w:val="24"/>
                <w:szCs w:val="24"/>
                <w:color w:val="auto"/>
              </w:rPr>
            </w:pPr>
          </w:p>
        </w:tc>
        <w:tc>
          <w:tcPr>
            <w:tcW w:w="6440" w:type="dxa"/>
            <w:vAlign w:val="bottom"/>
            <w:tcBorders>
              <w:top w:val="single" w:sz="8" w:color="auto"/>
              <w:bottom w:val="single" w:sz="8" w:color="auto"/>
              <w:right w:val="single" w:sz="8" w:color="auto"/>
            </w:tcBorders>
            <w:gridSpan w:val="2"/>
          </w:tcPr>
          <w:p>
            <w:pPr>
              <w:jc w:val="center"/>
              <w:ind w:right="368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r>
      <w:tr>
        <w:trPr>
          <w:trHeight w:val="159"/>
        </w:trPr>
        <w:tc>
          <w:tcPr>
            <w:tcW w:w="40" w:type="dxa"/>
            <w:vAlign w:val="bottom"/>
            <w:tcBorders>
              <w:right w:val="single" w:sz="8" w:color="auto"/>
            </w:tcBorders>
            <w:shd w:val="clear" w:color="auto" w:fill="000000"/>
          </w:tcPr>
          <w:p>
            <w:pPr>
              <w:spacing w:after="0"/>
              <w:rPr>
                <w:sz w:val="13"/>
                <w:szCs w:val="13"/>
                <w:color w:val="auto"/>
              </w:rPr>
            </w:pPr>
          </w:p>
        </w:tc>
        <w:tc>
          <w:tcPr>
            <w:tcW w:w="1120" w:type="dxa"/>
            <w:vAlign w:val="bottom"/>
            <w:tcBorders>
              <w:right w:val="single" w:sz="8" w:color="auto"/>
            </w:tcBorders>
            <w:gridSpan w:val="3"/>
          </w:tcPr>
          <w:p>
            <w:pPr>
              <w:jc w:val="center"/>
              <w:ind w:right="400"/>
              <w:spacing w:after="0" w:line="159" w:lineRule="exact"/>
              <w:rPr>
                <w:sz w:val="20"/>
                <w:szCs w:val="20"/>
                <w:color w:val="auto"/>
              </w:rPr>
            </w:pPr>
            <w:r>
              <w:rPr>
                <w:rFonts w:ascii="Times New Roman" w:cs="Times New Roman" w:eastAsia="Times New Roman" w:hAnsi="Times New Roman"/>
                <w:sz w:val="18"/>
                <w:szCs w:val="18"/>
                <w:color w:val="0000EE"/>
              </w:rPr>
              <w:t>1.</w:t>
            </w:r>
            <w:r>
              <w:rPr>
                <w:rFonts w:ascii="Times New Roman" w:cs="Times New Roman" w:eastAsia="Times New Roman" w:hAnsi="Times New Roman"/>
                <w:sz w:val="18"/>
                <w:szCs w:val="18"/>
                <w:u w:val="single" w:color="auto"/>
                <w:color w:val="0000EE"/>
              </w:rPr>
              <w:t>01</w:t>
            </w:r>
          </w:p>
        </w:tc>
        <w:tc>
          <w:tcPr>
            <w:tcW w:w="3640" w:type="dxa"/>
            <w:vAlign w:val="bottom"/>
          </w:tcPr>
          <w:p>
            <w:pPr>
              <w:spacing w:after="0"/>
              <w:rPr>
                <w:sz w:val="13"/>
                <w:szCs w:val="13"/>
                <w:color w:val="auto"/>
              </w:rPr>
            </w:pPr>
          </w:p>
        </w:tc>
        <w:tc>
          <w:tcPr>
            <w:tcW w:w="6440" w:type="dxa"/>
            <w:vAlign w:val="bottom"/>
            <w:tcBorders>
              <w:right w:val="single" w:sz="8" w:color="auto"/>
            </w:tcBorders>
            <w:gridSpan w:val="2"/>
          </w:tcPr>
          <w:p>
            <w:pPr>
              <w:jc w:val="center"/>
              <w:ind w:right="3680"/>
              <w:spacing w:after="0" w:line="159" w:lineRule="exact"/>
              <w:rPr>
                <w:sz w:val="20"/>
                <w:szCs w:val="20"/>
                <w:color w:val="auto"/>
              </w:rPr>
            </w:pPr>
            <w:r>
              <w:rPr>
                <w:rFonts w:ascii="Times New Roman" w:cs="Times New Roman" w:eastAsia="Times New Roman" w:hAnsi="Times New Roman"/>
                <w:sz w:val="18"/>
                <w:szCs w:val="18"/>
                <w:color w:val="0000EE"/>
                <w:w w:val="99"/>
              </w:rPr>
              <w:t>Conflict Minerals Report of Allot Ltd.</w:t>
            </w:r>
          </w:p>
        </w:tc>
      </w:tr>
      <w:tr>
        <w:trPr>
          <w:trHeight w:val="41"/>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Borders>
              <w:top w:val="single" w:sz="8" w:color="0000EE"/>
              <w:bottom w:val="single" w:sz="8" w:color="auto"/>
            </w:tcBorders>
          </w:tcPr>
          <w:p>
            <w:pPr>
              <w:spacing w:after="0"/>
              <w:rPr>
                <w:sz w:val="3"/>
                <w:szCs w:val="3"/>
                <w:color w:val="auto"/>
              </w:rPr>
            </w:pPr>
          </w:p>
        </w:tc>
        <w:tc>
          <w:tcPr>
            <w:tcW w:w="420" w:type="dxa"/>
            <w:vAlign w:val="bottom"/>
            <w:tcBorders>
              <w:bottom w:val="single" w:sz="8" w:color="auto"/>
              <w:right w:val="single" w:sz="8" w:color="auto"/>
            </w:tcBorders>
          </w:tcPr>
          <w:p>
            <w:pPr>
              <w:spacing w:after="0"/>
              <w:rPr>
                <w:sz w:val="3"/>
                <w:szCs w:val="3"/>
                <w:color w:val="auto"/>
              </w:rPr>
            </w:pPr>
          </w:p>
        </w:tc>
        <w:tc>
          <w:tcPr>
            <w:tcW w:w="3640" w:type="dxa"/>
            <w:vAlign w:val="bottom"/>
            <w:tcBorders>
              <w:bottom w:val="single" w:sz="8" w:color="auto"/>
            </w:tcBorders>
          </w:tcPr>
          <w:p>
            <w:pPr>
              <w:spacing w:after="0"/>
              <w:rPr>
                <w:sz w:val="3"/>
                <w:szCs w:val="3"/>
                <w:color w:val="auto"/>
              </w:rPr>
            </w:pPr>
          </w:p>
        </w:tc>
        <w:tc>
          <w:tcPr>
            <w:tcW w:w="2760" w:type="dxa"/>
            <w:vAlign w:val="bottom"/>
            <w:tcBorders>
              <w:top w:val="single" w:sz="8" w:color="0000EE"/>
              <w:bottom w:val="single" w:sz="8" w:color="auto"/>
            </w:tcBorders>
          </w:tcPr>
          <w:p>
            <w:pPr>
              <w:spacing w:after="0"/>
              <w:rPr>
                <w:sz w:val="3"/>
                <w:szCs w:val="3"/>
                <w:color w:val="auto"/>
              </w:rPr>
            </w:pPr>
          </w:p>
        </w:tc>
        <w:tc>
          <w:tcPr>
            <w:tcW w:w="3680" w:type="dxa"/>
            <w:vAlign w:val="bottom"/>
            <w:tcBorders>
              <w:bottom w:val="single" w:sz="8" w:color="auto"/>
              <w:right w:val="single" w:sz="8" w:color="auto"/>
            </w:tcBorders>
          </w:tcPr>
          <w:p>
            <w:pPr>
              <w:spacing w:after="0"/>
              <w:rPr>
                <w:sz w:val="3"/>
                <w:szCs w:val="3"/>
                <w:color w:val="auto"/>
              </w:rPr>
            </w:pPr>
          </w:p>
        </w:tc>
      </w:tr>
      <w:tr>
        <w:trPr>
          <w:trHeight w:val="412"/>
        </w:trPr>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43" w:lineRule="exact"/>
        <w:rPr>
          <w:sz w:val="20"/>
          <w:szCs w:val="20"/>
          <w:color w:val="auto"/>
        </w:rPr>
      </w:pPr>
    </w:p>
    <w:p>
      <w:pPr>
        <w:ind w:right="600"/>
        <w:spacing w:after="0" w:line="29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Allot Ltd.</w:t>
            </w:r>
          </w:p>
        </w:tc>
        <w:tc>
          <w:tcPr>
            <w:tcW w:w="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18"/>
        </w:trPr>
        <w:tc>
          <w:tcPr>
            <w:tcW w:w="4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/s/ Inbar Charash</w:t>
            </w:r>
          </w:p>
        </w:tc>
        <w:tc>
          <w:tcPr>
            <w:tcW w:w="6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20, 2026</w:t>
            </w:r>
          </w:p>
        </w:tc>
      </w:tr>
      <w:tr>
        <w:trPr>
          <w:trHeight w:val="41"/>
        </w:trPr>
        <w:tc>
          <w:tcPr>
            <w:tcW w:w="380" w:type="dxa"/>
            <w:vAlign w:val="bottom"/>
          </w:tcPr>
          <w:p>
            <w:pPr>
              <w:spacing w:after="0"/>
              <w:rPr>
                <w:sz w:val="3"/>
                <w:szCs w:val="3"/>
                <w:color w:val="auto"/>
              </w:rPr>
            </w:pPr>
          </w:p>
        </w:tc>
        <w:tc>
          <w:tcPr>
            <w:tcW w:w="37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920" w:type="dxa"/>
            <w:vAlign w:val="bottom"/>
          </w:tcPr>
          <w:p>
            <w:pPr>
              <w:spacing w:after="0"/>
              <w:rPr>
                <w:sz w:val="3"/>
                <w:szCs w:val="3"/>
                <w:color w:val="auto"/>
              </w:rPr>
            </w:pPr>
          </w:p>
        </w:tc>
        <w:tc>
          <w:tcPr>
            <w:tcW w:w="1000" w:type="dxa"/>
            <w:vAlign w:val="bottom"/>
            <w:tcBorders>
              <w:top w:val="single" w:sz="8" w:color="auto"/>
            </w:tcBorders>
          </w:tcPr>
          <w:p>
            <w:pPr>
              <w:spacing w:after="0"/>
              <w:rPr>
                <w:sz w:val="3"/>
                <w:szCs w:val="3"/>
                <w:color w:val="auto"/>
              </w:rPr>
            </w:pPr>
          </w:p>
        </w:tc>
        <w:tc>
          <w:tcPr>
            <w:tcW w:w="3540" w:type="dxa"/>
            <w:vAlign w:val="bottom"/>
          </w:tcPr>
          <w:p>
            <w:pPr>
              <w:spacing w:after="0"/>
              <w:rPr>
                <w:sz w:val="3"/>
                <w:szCs w:val="3"/>
                <w:color w:val="auto"/>
              </w:rPr>
            </w:pPr>
          </w:p>
        </w:tc>
      </w:tr>
      <w:tr>
        <w:trPr>
          <w:trHeight w:val="234"/>
        </w:trPr>
        <w:tc>
          <w:tcPr>
            <w:tcW w:w="380" w:type="dxa"/>
            <w:vAlign w:val="bottom"/>
          </w:tcPr>
          <w:p>
            <w:pPr>
              <w:spacing w:after="0"/>
              <w:rPr>
                <w:sz w:val="20"/>
                <w:szCs w:val="20"/>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Inbar Charash, VP Legal and General Counsel</w:t>
            </w:r>
          </w:p>
        </w:tc>
        <w:tc>
          <w:tcPr>
            <w:tcW w:w="6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540" w:type="dxa"/>
            <w:vAlign w:val="bottom"/>
          </w:tcPr>
          <w:p>
            <w:pPr>
              <w:spacing w:after="0"/>
              <w:rPr>
                <w:sz w:val="20"/>
                <w:szCs w:val="20"/>
                <w:color w:val="auto"/>
              </w:rPr>
            </w:pPr>
          </w:p>
        </w:tc>
      </w:tr>
      <w:tr>
        <w:trPr>
          <w:trHeight w:val="441"/>
        </w:trPr>
        <w:tc>
          <w:tcPr>
            <w:tcW w:w="3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71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[Signature Page to Form SD]</w:t>
            </w:r>
          </w:p>
        </w:tc>
      </w:tr>
      <w:tr>
        <w:trPr>
          <w:trHeight w:val="324"/>
        </w:trPr>
        <w:tc>
          <w:tcPr>
            <w:tcW w:w="38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spacing w:after="0"/>
              <w:rPr>
                <w:sz w:val="24"/>
                <w:szCs w:val="24"/>
                <w:color w:val="auto"/>
              </w:rPr>
            </w:pPr>
          </w:p>
        </w:tc>
      </w:tr>
      <w:tr>
        <w:trPr>
          <w:trHeight w:val="163"/>
        </w:trPr>
        <w:tc>
          <w:tcPr>
            <w:tcW w:w="380" w:type="dxa"/>
            <w:vAlign w:val="bottom"/>
            <w:tcBorders>
              <w:bottom w:val="single" w:sz="8" w:color="auto"/>
            </w:tcBorders>
          </w:tcPr>
          <w:p>
            <w:pPr>
              <w:spacing w:after="0"/>
              <w:rPr>
                <w:sz w:val="14"/>
                <w:szCs w:val="14"/>
                <w:color w:val="auto"/>
              </w:rPr>
            </w:pPr>
          </w:p>
        </w:tc>
        <w:tc>
          <w:tcPr>
            <w:tcW w:w="37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3540" w:type="dxa"/>
            <w:vAlign w:val="bottom"/>
            <w:tcBorders>
              <w:bottom w:val="single" w:sz="8" w:color="auto"/>
            </w:tcBorders>
          </w:tcPr>
          <w:p>
            <w:pPr>
              <w:spacing w:after="0"/>
              <w:rPr>
                <w:sz w:val="14"/>
                <w:szCs w:val="14"/>
                <w:color w:val="auto"/>
              </w:rPr>
            </w:pPr>
          </w:p>
        </w:tc>
      </w:tr>
    </w:tbl>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208915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1.01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Allot Ltd.</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reporting period from January 1 to December 31, 2025</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6"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Conflict Minerals Report (the “Report”) of Allot Ltd. ( “Allot,” the “Company,” “we” or “us”) has been prepared pursuant to Rule 13p-1 and Form SD (collectively, the “Rule”) promulgated under the Securities Exchange Act of 1934, as amended, for the reporting period between January 1 and December 31, 2025 (the “2025 calendar year”). The Rule requires disclosure of certain information when a company manufactures or contracts to manufacture products (“Covered Products”) and the minerals specified in the Rule are necessary to the functionality or production of those products. The specified minerals (“Conflict Minerals”) are gold, columbite-tantalite (coltan), cassiterite and wolframite, including their derivatives, which are limited to tantalum, tin and tungsten, or any other mineral or its derivatives determined by the U.S. Secretary of State to be financing conflict in the Democratic Republic of the Congo (“DRC”) or an adjoining country (collectively with the DRC, the “Covered Countries”).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243"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Pursuant to the Rule, the Company conducted a good faith reasonable country of origin inquiry (“RCOI”) regarding the Conflict Minerals, which was reasonably designed to determine whether any of the Conflict Minerals originated in the Covered Countries or whether any of the Conflict Minerals may be from recycled or scrap sources. Following this inquiry, the Company had reason to believe that during the calendar year 2025:</w:t>
      </w:r>
    </w:p>
    <w:p>
      <w:pPr>
        <w:spacing w:after="0" w:line="196" w:lineRule="exact"/>
        <w:rPr>
          <w:sz w:val="20"/>
          <w:szCs w:val="20"/>
          <w:color w:val="auto"/>
        </w:rPr>
      </w:pPr>
    </w:p>
    <w:p>
      <w:pPr>
        <w:ind w:left="460" w:right="60" w:hanging="452"/>
        <w:spacing w:after="0" w:line="282"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Allot has manufactured or contracted to manufacture products as to which Conflict Minerals are necessary to the functionality or production of those products; and</w:t>
      </w:r>
    </w:p>
    <w:p>
      <w:pPr>
        <w:spacing w:after="0" w:line="175" w:lineRule="exact"/>
        <w:rPr>
          <w:rFonts w:ascii="Times New Roman" w:cs="Times New Roman" w:eastAsia="Times New Roman" w:hAnsi="Times New Roman"/>
          <w:sz w:val="18"/>
          <w:szCs w:val="18"/>
          <w:color w:val="auto"/>
        </w:rPr>
      </w:pPr>
    </w:p>
    <w:p>
      <w:pPr>
        <w:ind w:left="460" w:right="200" w:hanging="452"/>
        <w:spacing w:after="0" w:line="281" w:lineRule="auto"/>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its good faith RCOI, Allot has reason to believe that certain of the Conflict Minerals necessary to the functionality or production of such Covered Products may have originated in one or more of the Covered Countries and that such Conflict Minerals may not be from recycled or scrap sources.</w:t>
      </w:r>
    </w:p>
    <w:p>
      <w:pPr>
        <w:spacing w:after="0" w:line="177"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Therefore, the Company performed due diligence on the source and chain of custody of the Conflict Minerals. There is significant overlap between the Company’s RCOI efforts and its due diligence measures performed. The due diligence measures performed by the Company are discussed below.</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Allot is filing this Report with its Form SD as required under the Rule. This Report has not been subject to an independent private sector audit.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DESCRIPTION OF THE COMPANY’S PRODUCTS COVERED BY THIS REPORT</w:t>
      </w:r>
    </w:p>
    <w:p>
      <w:pPr>
        <w:spacing w:after="0" w:line="2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Allot is a provider of leading innovative security solutions and network intelligence for mobile, fixed and cloud service providers as well as enterprises worldwide. Allot’s solutions are deployed globally for network-based security, including mobile security, distributed denial of service protection and Internet of Things security, network and application analytics, traffic control and shaping, and more. More recently, Allot has cultivated a strategic focus on the expansion and advancement of our Security-as-a-service product offerings. As described in this Report, during the reporting period between January 1 and December 31, 2025, certain of the Company’s operations manufactured, or contracted to manufacture, Covered Products for which the Conflict Minerals are necessary to the functionality or production of those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4"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t>During the 2025 calendar year, the Covered Products included the following:</w:t>
      </w:r>
    </w:p>
    <w:p>
      <w:pPr>
        <w:spacing w:after="0" w:line="239" w:lineRule="exact"/>
        <w:rPr>
          <w:sz w:val="20"/>
          <w:szCs w:val="20"/>
          <w:color w:val="auto"/>
        </w:rPr>
      </w:pPr>
    </w:p>
    <w:p>
      <w:pPr>
        <w:ind w:left="440" w:hanging="432"/>
        <w:spacing w:after="0"/>
        <w:tabs>
          <w:tab w:leader="none" w:pos="4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Allot Bypass Unit</w:t>
      </w:r>
    </w:p>
    <w:p>
      <w:pPr>
        <w:spacing w:after="0" w:line="27" w:lineRule="exact"/>
        <w:rPr>
          <w:rFonts w:ascii="Times New Roman" w:cs="Times New Roman" w:eastAsia="Times New Roman" w:hAnsi="Times New Roman"/>
          <w:sz w:val="18"/>
          <w:szCs w:val="18"/>
          <w:color w:val="auto"/>
        </w:rPr>
      </w:pPr>
    </w:p>
    <w:p>
      <w:pPr>
        <w:ind w:left="880" w:right="380" w:hanging="432"/>
        <w:spacing w:after="0" w:line="29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 Allot Bypass Unit (BU) is a passive, mission-critical subsystem designed to ensure business continuity and network connectivity at all times.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THE COMPANY’S DUE DILIGENCE PROCESS</w:t>
      </w:r>
    </w:p>
    <w:p>
      <w:pPr>
        <w:spacing w:after="0" w:line="243" w:lineRule="exact"/>
        <w:rPr>
          <w:sz w:val="20"/>
          <w:szCs w:val="20"/>
          <w:color w:val="auto"/>
        </w:rPr>
      </w:pPr>
    </w:p>
    <w:p>
      <w:pPr>
        <w:ind w:right="20"/>
        <w:spacing w:after="0" w:line="281" w:lineRule="auto"/>
        <w:rPr>
          <w:sz w:val="20"/>
          <w:szCs w:val="20"/>
          <w:color w:val="auto"/>
        </w:rPr>
      </w:pPr>
      <w:r>
        <w:rPr>
          <w:rFonts w:ascii="Times New Roman" w:cs="Times New Roman" w:eastAsia="Times New Roman" w:hAnsi="Times New Roman"/>
          <w:sz w:val="18"/>
          <w:szCs w:val="18"/>
          <w:color w:val="auto"/>
        </w:rPr>
        <w:t>The Company’s due diligence measures have been designed to conform to the five-step framework laid out by the Organization for Economic Co-operation and Development in its OECD Due Diligence Guidance for Responsible Supply Chains of Minerals from Conflict-Affected and High-Risk Areas: Third Edition (2016) including the related supplements on gold, tin, tantalum and tungsten (collectively, the “OECD Guidance”).</w:t>
      </w:r>
    </w:p>
    <w:p>
      <w:pPr>
        <w:spacing w:after="0" w:line="173" w:lineRule="exact"/>
        <w:rPr>
          <w:sz w:val="20"/>
          <w:szCs w:val="20"/>
          <w:color w:val="auto"/>
        </w:rPr>
      </w:pPr>
    </w:p>
    <w:p>
      <w:pPr>
        <w:ind w:right="800"/>
        <w:spacing w:after="0" w:line="302" w:lineRule="auto"/>
        <w:rPr>
          <w:sz w:val="20"/>
          <w:szCs w:val="20"/>
          <w:color w:val="auto"/>
        </w:rPr>
      </w:pPr>
      <w:r>
        <w:rPr>
          <w:rFonts w:ascii="Times New Roman" w:cs="Times New Roman" w:eastAsia="Times New Roman" w:hAnsi="Times New Roman"/>
          <w:sz w:val="18"/>
          <w:szCs w:val="18"/>
          <w:b w:val="1"/>
          <w:bCs w:val="1"/>
          <w:u w:val="single" w:color="auto"/>
          <w:color w:val="auto"/>
        </w:rPr>
        <w:t>OECD Guidance Step 1</w:t>
      </w:r>
      <w:r>
        <w:rPr>
          <w:rFonts w:ascii="Times New Roman" w:cs="Times New Roman" w:eastAsia="Times New Roman" w:hAnsi="Times New Roman"/>
          <w:sz w:val="18"/>
          <w:szCs w:val="18"/>
          <w:b w:val="1"/>
          <w:bCs w:val="1"/>
          <w:color w:val="auto"/>
        </w:rPr>
        <w:t>: Establish strong company management systems for Conflict Minerals supply chain due diligence and reporting compliance.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Adopt and commit to a supply chain policy for minerals originating from conflict-affected and high-risk areas.</w:t>
      </w:r>
    </w:p>
    <w:p>
      <w:pPr>
        <w:spacing w:after="0" w:line="241"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Company has adopted a policy statement relating to the Conflict Minerals (the “Policy”), which incorporates the standards set forth in the OECD Guidance. Specifically, the Policy states that the Company supports the actions of governments and organizations to increase supply chain transparency and enable companies to source conflict-free minerals. Further, the Company has initiated a comprehensive process to meet its regulatory obligations related to the sourcing of Conflict Minerals, taking steps to expand its supply chain due diligence measures and internal controls for the Conflict Minerals.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Policy is available on the Company’s website at </w:t>
      </w:r>
      <w:r>
        <w:rPr>
          <w:rFonts w:ascii="Times New Roman" w:cs="Times New Roman" w:eastAsia="Times New Roman" w:hAnsi="Times New Roman"/>
          <w:sz w:val="18"/>
          <w:szCs w:val="18"/>
          <w:u w:val="single" w:color="auto"/>
          <w:color w:val="auto"/>
        </w:rPr>
        <w:t>https://www.allot.com/corporate/about/quality-management/</w:t>
      </w:r>
      <w:r>
        <w:rPr>
          <w:rFonts w:ascii="Times New Roman" w:cs="Times New Roman" w:eastAsia="Times New Roman" w:hAnsi="Times New Roman"/>
          <w:sz w:val="18"/>
          <w:szCs w:val="18"/>
          <w:color w:val="auto"/>
        </w:rPr>
        <w:t>.</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Structure internal management systems to support supply chain due diligence.</w:t>
      </w:r>
    </w:p>
    <w:p>
      <w:pPr>
        <w:spacing w:after="0" w:line="24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compliance with the Policy and the Rule is overseen by the head of the Company’s engineering department. A team of subject matter experts from relevant departments within the Company, including the engineering, quality assurance and legal departments, is collectively responsible for implementing the Company’s Conflict Minerals strategy and compliance processes and for training employees outside of the team on their roles and responsibilities in connection with the compliance program. Additionally, this team meets regularly to assess the progress of the Company’s compliance program and reports to management from time to time. As in past years, the team reported progress and results of its due diligence efforts to management at review sessions held at various times throughout the 2025 calendar year.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 a system of controls and transparency over the Conflict Mineral supply chain.</w:t>
      </w:r>
    </w:p>
    <w:p>
      <w:pPr>
        <w:spacing w:after="0" w:line="241" w:lineRule="exact"/>
        <w:rPr>
          <w:sz w:val="20"/>
          <w:szCs w:val="20"/>
          <w:color w:val="auto"/>
        </w:rPr>
      </w:pPr>
    </w:p>
    <w:p>
      <w:pPr>
        <w:ind w:right="480"/>
        <w:spacing w:after="0" w:line="274" w:lineRule="auto"/>
        <w:rPr>
          <w:sz w:val="20"/>
          <w:szCs w:val="20"/>
          <w:color w:val="auto"/>
        </w:rPr>
      </w:pPr>
      <w:r>
        <w:rPr>
          <w:rFonts w:ascii="Times New Roman" w:cs="Times New Roman" w:eastAsia="Times New Roman" w:hAnsi="Times New Roman"/>
          <w:sz w:val="18"/>
          <w:szCs w:val="18"/>
          <w:color w:val="auto"/>
        </w:rPr>
        <w:t>The Company has established a system of controls to promote transparency over its Conflict Minerals supply chain by utilizing the Conflict Minerals Reporting Template (as further described below), which is designed to facilitate the transfer of information through the supply chain regarding each mineral’s country of origin and the smelters and refiners being utilized for the mineral.</w:t>
      </w:r>
    </w:p>
    <w:p>
      <w:pPr>
        <w:spacing w:after="0" w:line="196" w:lineRule="exact"/>
        <w:rPr>
          <w:sz w:val="20"/>
          <w:szCs w:val="20"/>
          <w:color w:val="auto"/>
        </w:rPr>
      </w:pPr>
    </w:p>
    <w:p>
      <w:pPr>
        <w:ind w:right="100"/>
        <w:spacing w:after="0" w:line="274" w:lineRule="auto"/>
        <w:rPr>
          <w:sz w:val="20"/>
          <w:szCs w:val="20"/>
          <w:color w:val="auto"/>
        </w:rPr>
      </w:pPr>
      <w:r>
        <w:rPr>
          <w:rFonts w:ascii="Times New Roman" w:cs="Times New Roman" w:eastAsia="Times New Roman" w:hAnsi="Times New Roman"/>
          <w:sz w:val="18"/>
          <w:szCs w:val="18"/>
          <w:color w:val="auto"/>
        </w:rPr>
        <w:t>To educate its senior management regarding sourcing practices, the Company has from time to time participated in various focus groups and forums relating to responsible sourcing of Conflict Minerals, including several presentations given by the Institute of Printed Circuits, ILTAM – The Israeli Users’ Association of Advanced Technologies in Hi-Tech Integrated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right="220"/>
        <w:spacing w:after="0" w:line="270" w:lineRule="auto"/>
        <w:rPr>
          <w:sz w:val="20"/>
          <w:szCs w:val="20"/>
          <w:color w:val="auto"/>
        </w:rPr>
      </w:pPr>
      <w:r>
        <w:rPr>
          <w:rFonts w:ascii="Times New Roman" w:cs="Times New Roman" w:eastAsia="Times New Roman" w:hAnsi="Times New Roman"/>
          <w:sz w:val="18"/>
          <w:szCs w:val="18"/>
          <w:color w:val="auto"/>
        </w:rPr>
        <w:t>Consistent with the Company’s commitment to sourcing products from suppliers that share its values with regard to human rights, ethics and social and environmental responsibility, as outlined in the Policy, and in compliance with the Rule, the Company has undertaken a multi-stage diligence inquiry to verify the possible sources of the Conflict Minerals contained in the products manufactured or contracted to be manufactured by the Company. The team overseeing the Company’s Conflict Minerals strategy and compliance program led this inquiry, with each focus group listed below tasked with specific responsibilities relating to the due diligence efforts:</w:t>
      </w:r>
    </w:p>
    <w:p>
      <w:pPr>
        <w:spacing w:after="0" w:line="186" w:lineRule="exact"/>
        <w:rPr>
          <w:sz w:val="20"/>
          <w:szCs w:val="20"/>
          <w:color w:val="auto"/>
        </w:rPr>
      </w:pPr>
    </w:p>
    <w:p>
      <w:pPr>
        <w:ind w:left="420" w:hanging="210"/>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Engineering focus group</w:t>
      </w:r>
    </w:p>
    <w:p>
      <w:pPr>
        <w:spacing w:after="0" w:line="27" w:lineRule="exact"/>
        <w:rPr>
          <w:rFonts w:ascii="Times New Roman" w:cs="Times New Roman" w:eastAsia="Times New Roman" w:hAnsi="Times New Roman"/>
          <w:sz w:val="18"/>
          <w:szCs w:val="18"/>
          <w:b w:val="1"/>
          <w:bCs w:val="1"/>
          <w:color w:val="auto"/>
        </w:rPr>
      </w:pPr>
    </w:p>
    <w:p>
      <w:pPr>
        <w:ind w:left="1060" w:right="960" w:hanging="323"/>
        <w:spacing w:after="0" w:line="276" w:lineRule="auto"/>
        <w:tabs>
          <w:tab w:leader="none" w:pos="107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and providing information regarding all parts and components used in all products manufactured or contracted to be manufactured by the Company, and all raw materials used in the manufacturing process.</w:t>
      </w:r>
    </w:p>
    <w:p>
      <w:pPr>
        <w:spacing w:after="0" w:line="194" w:lineRule="exact"/>
        <w:rPr>
          <w:rFonts w:ascii="Times New Roman" w:cs="Times New Roman" w:eastAsia="Times New Roman" w:hAnsi="Times New Roman"/>
          <w:sz w:val="18"/>
          <w:szCs w:val="18"/>
          <w:color w:val="auto"/>
        </w:rPr>
      </w:pPr>
    </w:p>
    <w:p>
      <w:pPr>
        <w:ind w:left="1060" w:right="400" w:hanging="323"/>
        <w:spacing w:after="0" w:line="274" w:lineRule="auto"/>
        <w:tabs>
          <w:tab w:leader="none" w:pos="10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implementing a new and advanced module, within our new Product Lifecycle Management system, for tracking and reporting various data on adherence to standards by the manufacturers of the parts and components used in our products. The module is based on software developed by GreenSoft Technology, Inc.</w:t>
      </w:r>
    </w:p>
    <w:p>
      <w:pPr>
        <w:spacing w:after="0" w:line="182"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Finding substitutions for parts and components if their manufacturers fail to meet certain standards.</w:t>
      </w:r>
    </w:p>
    <w:p>
      <w:pPr>
        <w:spacing w:after="0" w:line="252"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Quality assurance focus group</w:t>
      </w:r>
    </w:p>
    <w:p>
      <w:pPr>
        <w:spacing w:after="0" w:line="27" w:lineRule="exact"/>
        <w:rPr>
          <w:rFonts w:ascii="Times New Roman" w:cs="Times New Roman" w:eastAsia="Times New Roman" w:hAnsi="Times New Roman"/>
          <w:sz w:val="18"/>
          <w:szCs w:val="18"/>
          <w:b w:val="1"/>
          <w:bCs w:val="1"/>
          <w:color w:val="auto"/>
        </w:rPr>
      </w:pPr>
    </w:p>
    <w:p>
      <w:pPr>
        <w:ind w:left="1060" w:right="600" w:hanging="323"/>
        <w:spacing w:after="0" w:line="276" w:lineRule="auto"/>
        <w:tabs>
          <w:tab w:leader="none" w:pos="10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incorporating relevant requirements in the purchase orders, ensuring that the Company’s Policy is addressed and implemented by suppliers in contracts and purchase orders.</w:t>
      </w:r>
    </w:p>
    <w:p>
      <w:pPr>
        <w:spacing w:after="0" w:line="194" w:lineRule="exact"/>
        <w:rPr>
          <w:rFonts w:ascii="Times New Roman" w:cs="Times New Roman" w:eastAsia="Times New Roman" w:hAnsi="Times New Roman"/>
          <w:sz w:val="18"/>
          <w:szCs w:val="18"/>
          <w:color w:val="auto"/>
        </w:rPr>
      </w:pPr>
    </w:p>
    <w:p>
      <w:pPr>
        <w:ind w:left="1060" w:right="720" w:hanging="323"/>
        <w:spacing w:after="0" w:line="282" w:lineRule="auto"/>
        <w:tabs>
          <w:tab w:leader="none" w:pos="10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making the Conflict Minerals Reports available on the Company’s corporate webiste, promoting transparency and ensuring that information concerning the Company’s compliance is available to customers and sales personnel.</w:t>
      </w:r>
    </w:p>
    <w:p>
      <w:pPr>
        <w:spacing w:after="0" w:line="188" w:lineRule="exact"/>
        <w:rPr>
          <w:rFonts w:ascii="Times New Roman" w:cs="Times New Roman" w:eastAsia="Times New Roman" w:hAnsi="Times New Roman"/>
          <w:sz w:val="18"/>
          <w:szCs w:val="18"/>
          <w:color w:val="auto"/>
        </w:rPr>
      </w:pPr>
    </w:p>
    <w:p>
      <w:pPr>
        <w:ind w:left="420" w:hanging="210"/>
        <w:spacing w:after="0"/>
        <w:tabs>
          <w:tab w:leader="none" w:pos="4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Legal focus group</w:t>
      </w:r>
    </w:p>
    <w:p>
      <w:pPr>
        <w:spacing w:after="0" w:line="27" w:lineRule="exact"/>
        <w:rPr>
          <w:rFonts w:ascii="Times New Roman" w:cs="Times New Roman" w:eastAsia="Times New Roman" w:hAnsi="Times New Roman"/>
          <w:sz w:val="18"/>
          <w:szCs w:val="18"/>
          <w:b w:val="1"/>
          <w:bCs w:val="1"/>
          <w:color w:val="auto"/>
        </w:rPr>
      </w:pPr>
    </w:p>
    <w:p>
      <w:pPr>
        <w:ind w:left="1060" w:right="3200" w:hanging="323"/>
        <w:spacing w:after="0" w:line="276" w:lineRule="auto"/>
        <w:tabs>
          <w:tab w:leader="none" w:pos="1066"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Ensuring that the Company complies with relevant laws, regulations and contractual obligations, including the related reporting requirements, contract reviews and other issues.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Strengthen the Company’s engagement with suppliers.</w:t>
      </w:r>
    </w:p>
    <w:p>
      <w:pPr>
        <w:spacing w:after="0" w:line="24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Company informs its in-scope manufacturers and suppliers of its materials disclosure requirements, including its compliance with the OECD Guidance and the Rule, and of specification updates that the Company communicates and tracks electronically. Moreover, under the terms and conditions of the Company’s purchase orders and contracts, manufacturers and suppliers are expressly required to procure the Conflict Minerals from sources that have been verified as conflict-free and to support the supply chain due diligence process employed by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Establish a Company-level grievance mechanism.</w:t>
      </w:r>
    </w:p>
    <w:p>
      <w:pPr>
        <w:spacing w:after="0" w:line="254"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8"/>
          <w:szCs w:val="18"/>
          <w:color w:val="auto"/>
        </w:rPr>
        <w:t>The Company maintains an open reporting system through which employees and third parties may report concerns about potential or actual violations of the Policy. Concerns may be reported anonymously or for attribution through several channels, including through an employee’s immediate manager or the Company’s legal department.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238760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Guidance Step 2</w:t>
      </w:r>
      <w:r>
        <w:rPr>
          <w:rFonts w:ascii="Times New Roman" w:cs="Times New Roman" w:eastAsia="Times New Roman" w:hAnsi="Times New Roman"/>
          <w:sz w:val="18"/>
          <w:szCs w:val="18"/>
          <w:b w:val="1"/>
          <w:bCs w:val="1"/>
          <w:color w:val="auto"/>
        </w:rPr>
        <w:t>: Identify and assess risks in the Company’s supply chain.</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Identify risks in the supply chain.</w:t>
      </w:r>
    </w:p>
    <w:p>
      <w:pPr>
        <w:spacing w:after="0" w:line="2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does not purchase Conflict Minerals directly from mines, smelters or refiners. The Company’s supply chain with respect to the Covered Products is complex, with multiple intermediaries and third parties in the supply chain between the Company’s manufacture of the Covered Products and the original sources of Conflict Minerals. As a result, the Company designed its due diligence process to conform to the requirements of the Rule and the OECD Guidance, as applicable for downstream companies. The Company relied and continues to rely on its suppliers to provide information regarding the origin of Conflict Minerals included in the Covered Products. Because the Company believes that the smelters and refiners of the Conflict Minerals are best situated to identify the sources of Conflict Minerals, the Company relied on communications with suppliers to identify the applicable smelters and refiners of Conflict Minerals in the Company’s supply chain.</w:t>
      </w:r>
    </w:p>
    <w:p>
      <w:pPr>
        <w:spacing w:after="0" w:line="190" w:lineRule="exact"/>
        <w:rPr>
          <w:sz w:val="20"/>
          <w:szCs w:val="20"/>
          <w:color w:val="auto"/>
        </w:rPr>
      </w:pPr>
    </w:p>
    <w:p>
      <w:pPr>
        <w:jc w:val="both"/>
        <w:ind w:right="260"/>
        <w:spacing w:after="0" w:line="274" w:lineRule="auto"/>
        <w:rPr>
          <w:sz w:val="20"/>
          <w:szCs w:val="20"/>
          <w:color w:val="auto"/>
        </w:rPr>
      </w:pPr>
      <w:r>
        <w:rPr>
          <w:rFonts w:ascii="Times New Roman" w:cs="Times New Roman" w:eastAsia="Times New Roman" w:hAnsi="Times New Roman"/>
          <w:sz w:val="18"/>
          <w:szCs w:val="18"/>
          <w:color w:val="auto"/>
        </w:rPr>
        <w:t>The first step in the Company’s due diligence process was to determine which products manufactured or contracted to be manufactured by the Company during the 2025 calendar year may fall within the scope of the Rule and which first-tier suppliers and manufacturers the Company ought to engage in its due diligence efforts.</w:t>
      </w:r>
    </w:p>
    <w:p>
      <w:pPr>
        <w:spacing w:after="0" w:line="196" w:lineRule="exact"/>
        <w:rPr>
          <w:sz w:val="20"/>
          <w:szCs w:val="20"/>
          <w:color w:val="auto"/>
        </w:rPr>
      </w:pPr>
    </w:p>
    <w:p>
      <w:pPr>
        <w:ind w:left="460" w:right="4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engineering focus group reviewed the catalog of the products manufactured or contracted to be manufactured by the Company in the 2025 calendar year to determine which components contain Conflict Minerals necessary to the functionality or production of the products. The Company’s Product Lifecycle Management software was used to generate a list of all of the components of these products. Based on the components used in products manufactured or contracted to be manufactured by the Company, the Covered Products were identified. The Covered Products are listed in Part I of this Report.</w:t>
      </w:r>
    </w:p>
    <w:p>
      <w:pPr>
        <w:spacing w:after="0" w:line="189" w:lineRule="exact"/>
        <w:rPr>
          <w:rFonts w:ascii="Times New Roman" w:cs="Times New Roman" w:eastAsia="Times New Roman" w:hAnsi="Times New Roman"/>
          <w:sz w:val="18"/>
          <w:szCs w:val="18"/>
          <w:color w:val="auto"/>
        </w:rPr>
      </w:pPr>
    </w:p>
    <w:p>
      <w:pPr>
        <w:ind w:left="460" w:right="40" w:hanging="452"/>
        <w:spacing w:after="0" w:line="297"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engineering focus group also generated through the Company’s Product Lifecycle Management system a list of the manufacturers or suppliers of the components of the Covered Products, allowing the engineering focus group to identify the Company’s first-tier manufacturers and suppliers.</w:t>
      </w:r>
    </w:p>
    <w:p>
      <w:pPr>
        <w:spacing w:after="0" w:line="162" w:lineRule="exact"/>
        <w:rPr>
          <w:rFonts w:ascii="Times New Roman" w:cs="Times New Roman" w:eastAsia="Times New Roman" w:hAnsi="Times New Roman"/>
          <w:sz w:val="18"/>
          <w:szCs w:val="18"/>
          <w:color w:val="auto"/>
        </w:rPr>
      </w:pPr>
    </w:p>
    <w:p>
      <w:pPr>
        <w:ind w:left="460" w:right="20" w:hanging="452"/>
        <w:spacing w:after="0" w:line="266" w:lineRule="auto"/>
        <w:tabs>
          <w:tab w:leader="none" w:pos="4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engineering focus group’s findings, the Company engaged during the 2025 calendar year an expert-consulting agency, GreenSoft Technology, Inc., in order to assist with gathering relevant information needed for updating the Company’s Product Governance and Compliance module, a tool designed to help manufacturers manage various kinds of product compliance, including the ability to audit the presence and amount of regulated substances used in their products. This module stores and helps analyze information, such as documents received from manufacturers and suppliers, reflecting active components used by the Company and the degree to which the Company’s manufacturers and suppliers adhere to relevant laws. In recording this data, the system ensures a fixed tracking of sources of components and raw materials.</w:t>
      </w:r>
    </w:p>
    <w:p>
      <w:pPr>
        <w:spacing w:after="0" w:line="190"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Once the final first-tier manufacturer and supplier list was confirmed, all manufacturers and suppliers identified in connection with the Covered Products were then contacted by GreenSoft Technology, Inc. and provided with a supply chain survey in the form of the Conflict Minerals Reporting Template (the “Template”) of the Responsible Business Alliance (the “RBA”). The RBA oversees the Responsible Minerals Initiative (formerly the Conflict-Free Sourcing Initiative, or the “CFSI”) (the “RMI”). The Company modeled its survey after version </w:t>
      </w:r>
      <w:r>
        <w:rPr>
          <w:rFonts w:ascii="Times New Roman" w:cs="Times New Roman" w:eastAsia="Times New Roman" w:hAnsi="Times New Roman"/>
          <w:sz w:val="18"/>
          <w:szCs w:val="18"/>
          <w:color w:val="auto"/>
          <w:strike w:val="1"/>
        </w:rPr>
        <w:t>6.22</w:t>
      </w:r>
      <w:r>
        <w:rPr>
          <w:rFonts w:ascii="Times New Roman" w:cs="Times New Roman" w:eastAsia="Times New Roman" w:hAnsi="Times New Roman"/>
          <w:sz w:val="18"/>
          <w:szCs w:val="18"/>
          <w:color w:val="auto"/>
        </w:rPr>
        <w:t xml:space="preserve"> 6.5 of the Template. In its cover letter enclosing the survey, GreenSoft Technology, Inc. (i) reiterated the requirements of the Rule and its applicability to the Company, (ii) expressed the Company's goal to become a “conflict-free” company and its expectation that its suppliers take similar measures with their suppliers, and (iii) requested that each recipient manufacturer or supplier complete the survey for all products supplied to the Company during the 2025 calendar year.</w:t>
      </w:r>
    </w:p>
    <w:p>
      <w:pPr>
        <w:spacing w:after="0" w:line="203"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As set forth in the Template and the OECD Guidance, manufacturers and suppliers which completed the survey, made representations or provided information regarding the following:</w:t>
      </w:r>
    </w:p>
    <w:p>
      <w:pPr>
        <w:spacing w:after="0" w:line="189" w:lineRule="exact"/>
        <w:rPr>
          <w:sz w:val="20"/>
          <w:szCs w:val="20"/>
          <w:color w:val="auto"/>
        </w:rPr>
      </w:pPr>
    </w:p>
    <w:p>
      <w:pPr>
        <w:ind w:left="460" w:right="400" w:hanging="452"/>
        <w:spacing w:after="0" w:line="282" w:lineRule="auto"/>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of origin for the Conflict Minerals contained in the components or products provided by the solicited manufacturer or supplier to the Company;</w:t>
      </w:r>
    </w:p>
    <w:p>
      <w:pPr>
        <w:spacing w:after="0" w:line="18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Conflict Minerals directly or indirectly finance armed conflict in the Covered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smelters in the manufacturer or supplier’s supply chain for such Conflict Minerals;</w:t>
      </w:r>
    </w:p>
    <w:p>
      <w:pPr>
        <w:spacing w:after="0" w:line="238" w:lineRule="exact"/>
        <w:rPr>
          <w:rFonts w:ascii="Times New Roman" w:cs="Times New Roman" w:eastAsia="Times New Roman" w:hAnsi="Times New Roman"/>
          <w:sz w:val="18"/>
          <w:szCs w:val="18"/>
          <w:color w:val="auto"/>
        </w:rPr>
      </w:pPr>
    </w:p>
    <w:p>
      <w:pPr>
        <w:ind w:left="460" w:right="320" w:hanging="452"/>
        <w:spacing w:after="0" w:line="297" w:lineRule="auto"/>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smelters have been validated as in compliance with the RMI’s Responsible Minerals Assurance Process (formerly the Conflict-Free Smelter Program, or the “CFSP”) (the “RMAP”);</w:t>
      </w:r>
    </w:p>
    <w:p>
      <w:pPr>
        <w:spacing w:after="0" w:line="162"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manufacturer or supplier has its own Conflict Minerals policy that requires its own direct suppliers to be DRC conflict-free; and</w:t>
      </w:r>
    </w:p>
    <w:p>
      <w:pPr>
        <w:spacing w:after="0" w:line="238"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manufacturer or supplier uses the Template with its own suppliers to gather similar information.</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Assess risk in the supply chain.</w:t>
      </w:r>
    </w:p>
    <w:p>
      <w:pPr>
        <w:spacing w:after="0" w:line="241" w:lineRule="exact"/>
        <w:rPr>
          <w:sz w:val="20"/>
          <w:szCs w:val="20"/>
          <w:color w:val="auto"/>
        </w:rPr>
      </w:pPr>
    </w:p>
    <w:p>
      <w:pPr>
        <w:ind w:right="60"/>
        <w:spacing w:after="0" w:line="297" w:lineRule="auto"/>
        <w:rPr>
          <w:sz w:val="20"/>
          <w:szCs w:val="20"/>
          <w:color w:val="auto"/>
        </w:rPr>
      </w:pPr>
      <w:r>
        <w:rPr>
          <w:rFonts w:ascii="Times New Roman" w:cs="Times New Roman" w:eastAsia="Times New Roman" w:hAnsi="Times New Roman"/>
          <w:sz w:val="18"/>
          <w:szCs w:val="18"/>
          <w:color w:val="auto"/>
        </w:rPr>
        <w:t>The information in the surveys received from manufacturers and suppliers was compared against the RMAP’s “conformant” and “active” smelters list. The Company adopted the following multi-step process to evaluate the surveys:</w:t>
      </w:r>
    </w:p>
    <w:p>
      <w:pPr>
        <w:spacing w:after="0" w:line="163" w:lineRule="exact"/>
        <w:rPr>
          <w:sz w:val="20"/>
          <w:szCs w:val="20"/>
          <w:color w:val="auto"/>
        </w:rPr>
      </w:pPr>
    </w:p>
    <w:p>
      <w:pPr>
        <w:ind w:left="460" w:right="20" w:hanging="452"/>
        <w:spacing w:after="0" w:line="270"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correctly completed, each survey identified the smelters and refiners within the solicited supplier’s or manufacturer’s supply chain. Thus, the Company compared each completed survey against the RMAP’s “conformant” and “active” smelters list to determine whether the smelters or refiners associated with the surveyed supplier or manufacturer qualified as “conformant” or “active.” The RMAP is a program in which the RMI uses independent third-party auditors to audit the source, including origin of mines and chain of custody, of the Conflict Minerals processed by smelters and refiners which agree to undergo an audit or to take part in a cross-recognition program.</w:t>
      </w:r>
    </w:p>
    <w:p>
      <w:pPr>
        <w:spacing w:after="0" w:line="185" w:lineRule="exact"/>
        <w:rPr>
          <w:rFonts w:ascii="Times New Roman" w:cs="Times New Roman" w:eastAsia="Times New Roman" w:hAnsi="Times New Roman"/>
          <w:sz w:val="18"/>
          <w:szCs w:val="18"/>
          <w:color w:val="auto"/>
        </w:rPr>
      </w:pPr>
    </w:p>
    <w:p>
      <w:pPr>
        <w:jc w:val="both"/>
        <w:ind w:left="1100" w:right="180" w:hanging="323"/>
        <w:spacing w:after="0" w:line="274" w:lineRule="auto"/>
        <w:tabs>
          <w:tab w:leader="none" w:pos="11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smelter or refiner is considered RMAP “conformant” if the audited smelter or refiner has successfully completed an RMAP audit and maintains good standing in the program, through a continual validation process. These smelters or refiners have the systems and processes in place to support responsible sourcing of raw materials and can provide evidence to support their sourcing activities.</w:t>
      </w:r>
    </w:p>
    <w:p>
      <w:pPr>
        <w:spacing w:after="0" w:line="195" w:lineRule="exact"/>
        <w:rPr>
          <w:rFonts w:ascii="Times New Roman" w:cs="Times New Roman" w:eastAsia="Times New Roman" w:hAnsi="Times New Roman"/>
          <w:sz w:val="18"/>
          <w:szCs w:val="18"/>
          <w:color w:val="auto"/>
        </w:rPr>
      </w:pPr>
    </w:p>
    <w:p>
      <w:pPr>
        <w:ind w:left="1100" w:right="80" w:hanging="323"/>
        <w:spacing w:after="0" w:line="266" w:lineRule="auto"/>
        <w:tabs>
          <w:tab w:leader="none" w:pos="11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Smelters and refiners labeled as RMAP “active” by the RMI represent smelters and refiners that have committed to undergo an RMAP assessment, completed the relevant documents, and scheduled the on-site assessment. These may be in the pre-assessment, assessment or corrective-action phases of the assessment. The RMI notes on the active smelters list the names of any smelters or refiners that have left the “active” or “conformant” list and intend to re-enter the program.</w:t>
      </w:r>
    </w:p>
    <w:p>
      <w:pPr>
        <w:spacing w:after="0" w:line="202" w:lineRule="exact"/>
        <w:rPr>
          <w:rFonts w:ascii="Times New Roman" w:cs="Times New Roman" w:eastAsia="Times New Roman" w:hAnsi="Times New Roman"/>
          <w:sz w:val="18"/>
          <w:szCs w:val="18"/>
          <w:color w:val="auto"/>
        </w:rPr>
      </w:pPr>
    </w:p>
    <w:p>
      <w:pPr>
        <w:ind w:left="1100" w:right="100" w:hanging="323"/>
        <w:spacing w:after="0" w:line="282" w:lineRule="auto"/>
        <w:tabs>
          <w:tab w:leader="none" w:pos="1109"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Downstream smelters or refiners may not take part in the RMAP. However, they may participate in the RMI’s Downstream Audit Program, an independent validation of companies’ sourcing practices outside of the RMAP audit process.</w:t>
      </w:r>
    </w:p>
    <w:p>
      <w:pPr>
        <w:spacing w:after="0" w:line="188" w:lineRule="exact"/>
        <w:rPr>
          <w:rFonts w:ascii="Times New Roman" w:cs="Times New Roman" w:eastAsia="Times New Roman" w:hAnsi="Times New Roman"/>
          <w:sz w:val="18"/>
          <w:szCs w:val="18"/>
          <w:color w:val="auto"/>
        </w:rPr>
      </w:pPr>
    </w:p>
    <w:p>
      <w:pPr>
        <w:ind w:left="460" w:hanging="452"/>
        <w:spacing w:after="0" w:line="29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worked with individual manufacturers and suppliers that had questions or concerns regarding the survey modeled after the Template or regarding the Rule.</w:t>
      </w:r>
    </w:p>
    <w:p>
      <w:pPr>
        <w:spacing w:after="0" w:line="162" w:lineRule="exact"/>
        <w:rPr>
          <w:rFonts w:ascii="Times New Roman" w:cs="Times New Roman" w:eastAsia="Times New Roman" w:hAnsi="Times New Roman"/>
          <w:sz w:val="18"/>
          <w:szCs w:val="18"/>
          <w:color w:val="auto"/>
        </w:rPr>
      </w:pPr>
    </w:p>
    <w:p>
      <w:pPr>
        <w:ind w:left="460" w:right="500" w:hanging="452"/>
        <w:spacing w:after="0" w:line="297"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and suppliers that returned surveys that appeared to be incomplete or incorrect were contacted again with a follow-up request to provide the missing information or to correct the inaccuracies.</w:t>
      </w:r>
    </w:p>
    <w:p>
      <w:pPr>
        <w:spacing w:after="0" w:line="162" w:lineRule="exact"/>
        <w:rPr>
          <w:rFonts w:ascii="Times New Roman" w:cs="Times New Roman" w:eastAsia="Times New Roman" w:hAnsi="Times New Roman"/>
          <w:sz w:val="18"/>
          <w:szCs w:val="18"/>
          <w:color w:val="auto"/>
        </w:rPr>
      </w:pPr>
    </w:p>
    <w:p>
      <w:pPr>
        <w:ind w:left="460" w:right="280" w:hanging="452"/>
        <w:spacing w:after="0" w:line="274" w:lineRule="auto"/>
        <w:tabs>
          <w:tab w:leader="none" w:pos="4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Manufacturers and suppliers that failed to respond to the follow-up request were issued an official notification by the Company’s senior officers informing them that continued refusal could result in cancelation of all contractual engagements, following which notification such manufacturers and suppliers provided the requested information to the Company.</w:t>
      </w:r>
    </w:p>
    <w:p>
      <w:pPr>
        <w:spacing w:after="0" w:line="19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All completed surveys received from suppliers were stored electronically in a central location accessible to authorized employees of the Company involved in the due diligence process and will be retained in accordance with the Company’s document retention guidelines.</w:t>
      </w:r>
    </w:p>
    <w:p>
      <w:pPr>
        <w:spacing w:after="0" w:line="189"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8"/>
          <w:szCs w:val="18"/>
          <w:color w:val="auto"/>
        </w:rPr>
        <w:t>Following the process outlined above, as of December 31, 2025, the Company received completed survey responses from approximately 100% of manufacturers and suppliers on the list responsible for manufactured parts used in the Covered Products included in the supply chain survey. The Company relied on the completed surveys it received from its manufacturers and suppliers as the main source of documentation supporting the representations made by such parties regarding the source and chain of custody of relevant Conflict Minerals.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Guidance Step 3</w:t>
      </w:r>
      <w:r>
        <w:rPr>
          <w:rFonts w:ascii="Times New Roman" w:cs="Times New Roman" w:eastAsia="Times New Roman" w:hAnsi="Times New Roman"/>
          <w:sz w:val="18"/>
          <w:szCs w:val="18"/>
          <w:b w:val="1"/>
          <w:bCs w:val="1"/>
          <w:color w:val="auto"/>
        </w:rPr>
        <w:t>: Design and implement a strategy to respond to identified risks.</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 findings to designated senior management.</w:t>
      </w:r>
    </w:p>
    <w:p>
      <w:pPr>
        <w:spacing w:after="0" w:line="254"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The team overseeing the Company’s Conflict Minerals strategy and compliance program reported its due diligence findings to senior management overseeing the supply chain and engineering departments, including the Quality Assurance Manager and the Vice President for Operations. All completed surveys from manufacturers and suppliers were stored electronically in a central location accessible to authorized employees in the Company’s engineering and legal departments. The Company’s quality assurance department was involved in the design and was responsible for the internal audit of the due diligence process.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Devise, adopt and implement a risk management plan.</w:t>
      </w:r>
    </w:p>
    <w:p>
      <w:pPr>
        <w:spacing w:after="0" w:line="241" w:lineRule="exact"/>
        <w:rPr>
          <w:sz w:val="20"/>
          <w:szCs w:val="20"/>
          <w:color w:val="auto"/>
        </w:rPr>
      </w:pPr>
    </w:p>
    <w:p>
      <w:pPr>
        <w:ind w:right="360"/>
        <w:spacing w:after="0" w:line="297" w:lineRule="auto"/>
        <w:rPr>
          <w:sz w:val="20"/>
          <w:szCs w:val="20"/>
          <w:color w:val="auto"/>
        </w:rPr>
      </w:pPr>
      <w:r>
        <w:rPr>
          <w:rFonts w:ascii="Times New Roman" w:cs="Times New Roman" w:eastAsia="Times New Roman" w:hAnsi="Times New Roman"/>
          <w:sz w:val="18"/>
          <w:szCs w:val="18"/>
          <w:color w:val="auto"/>
        </w:rPr>
        <w:t>In light of the complexity of the Company’s and its suppliers’ supply chains, the Company is currently unable to assess adequately all of the risks in its supply chain. However, the Company has taken and continues to take steps to manage risks, including:</w:t>
      </w:r>
    </w:p>
    <w:p>
      <w:pPr>
        <w:spacing w:after="0" w:line="163"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with manufacturers and suppliers to obtain current, accurate and complete information about the Company’s supply chains;</w:t>
      </w:r>
    </w:p>
    <w:p>
      <w:pPr>
        <w:spacing w:after="0" w:line="238" w:lineRule="exact"/>
        <w:rPr>
          <w:rFonts w:ascii="Times New Roman" w:cs="Times New Roman" w:eastAsia="Times New Roman" w:hAnsi="Times New Roman"/>
          <w:sz w:val="18"/>
          <w:szCs w:val="18"/>
          <w:color w:val="auto"/>
        </w:rPr>
      </w:pPr>
    </w:p>
    <w:p>
      <w:pPr>
        <w:ind w:left="460" w:right="420" w:hanging="452"/>
        <w:spacing w:after="0" w:line="274"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encouraging manufacturers and suppliers to implement responsible sourcing and based on the Company’s status as a downstream company with limited control over smelters and refiners, asking manufacturers and suppliers to encourage smelters and refiners to obtain a “conflict-free” or otherwise RMAP “conformant” designation from an independent, third-party auditor;</w:t>
      </w:r>
    </w:p>
    <w:p>
      <w:pPr>
        <w:spacing w:after="0" w:line="195"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taking part in industry initiatives promoting “conflict-free” supply chains; and</w:t>
      </w:r>
    </w:p>
    <w:p>
      <w:pPr>
        <w:spacing w:after="0" w:line="238" w:lineRule="exact"/>
        <w:rPr>
          <w:rFonts w:ascii="Times New Roman" w:cs="Times New Roman" w:eastAsia="Times New Roman" w:hAnsi="Times New Roman"/>
          <w:sz w:val="18"/>
          <w:szCs w:val="18"/>
          <w:color w:val="auto"/>
        </w:rPr>
      </w:pPr>
    </w:p>
    <w:p>
      <w:pPr>
        <w:ind w:left="460" w:right="620" w:hanging="452"/>
        <w:spacing w:after="0" w:line="297" w:lineRule="auto"/>
        <w:tabs>
          <w:tab w:leader="none" w:pos="4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advocating that our industry membership organizations develop and implement due diligence capability training modules in cooperation with relevant international organizations, non-governmental organizations, stakeholders and other experts.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Monitor risk mitigation efforts and report back to designated senior management.</w:t>
      </w:r>
    </w:p>
    <w:p>
      <w:pPr>
        <w:spacing w:after="0" w:line="24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To monitor and track the performance of risk management efforts, the Company relies on supplier survey updates and supplier RMAP updates. The status of such efforts is communicated in meetings of the internal team charged with executing the Company’s Conflict Minerals strategy and compliance processes.</w:t>
      </w:r>
    </w:p>
    <w:p>
      <w:pPr>
        <w:spacing w:after="0" w:line="18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The Company employs an escalation process whereby it promptly engages directly with suppliers or manufacturers upon obtaining any information that may indicate that such suppliers or manufacturers may be sourcing Conflict Minerals from any of the Covered Countries. Various steps taken by the Company in such instances may include requiring a contracted supplier or manufacturer to find an alternative source for the Covered Minerals for use in products or components supplied to the Company, or, if appropriate in light of all relevant factors, suspending or terminating a contractual relationship with the supplier or manufacturer. The Company’s risk management plan is ultimately to discontinue doing business with any supplier found to be purchasing the Conflict Minerals, the trading of which directly or indirectly finance or benefit armed groups in the Covered Countries, after attempts at corrective actions are not successful.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color w:val="auto"/>
        </w:rPr>
        <w:t>Undertake additional fact and risk assessments for risks requiring mitigation or after a change in circumstances.</w:t>
      </w:r>
    </w:p>
    <w:p>
      <w:pPr>
        <w:spacing w:after="0" w:line="241" w:lineRule="exact"/>
        <w:rPr>
          <w:sz w:val="20"/>
          <w:szCs w:val="20"/>
          <w:color w:val="auto"/>
        </w:rPr>
      </w:pPr>
    </w:p>
    <w:p>
      <w:pPr>
        <w:spacing w:after="0" w:line="297" w:lineRule="auto"/>
        <w:rPr>
          <w:sz w:val="20"/>
          <w:szCs w:val="20"/>
          <w:color w:val="auto"/>
        </w:rPr>
      </w:pPr>
      <w:r>
        <w:rPr>
          <w:rFonts w:ascii="Times New Roman" w:cs="Times New Roman" w:eastAsia="Times New Roman" w:hAnsi="Times New Roman"/>
          <w:sz w:val="18"/>
          <w:szCs w:val="18"/>
          <w:color w:val="auto"/>
        </w:rPr>
        <w:t>To undertake additional fact and risk assessments for risks requiring mitigation or after a change of circumstances, the Company relies on a supplier re-approval process as set forth in its Policy.</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Guidance Step 4</w:t>
      </w:r>
      <w:r>
        <w:rPr>
          <w:rFonts w:ascii="Times New Roman" w:cs="Times New Roman" w:eastAsia="Times New Roman" w:hAnsi="Times New Roman"/>
          <w:sz w:val="18"/>
          <w:szCs w:val="18"/>
          <w:b w:val="1"/>
          <w:bCs w:val="1"/>
          <w:color w:val="auto"/>
        </w:rPr>
        <w:t>: Carry out independent third-party audit of smelter/refiner’s due diligence practices.</w:t>
      </w:r>
    </w:p>
    <w:p>
      <w:pPr>
        <w:spacing w:after="0" w:line="256" w:lineRule="exact"/>
        <w:rPr>
          <w:sz w:val="20"/>
          <w:szCs w:val="20"/>
          <w:color w:val="auto"/>
        </w:rPr>
      </w:pPr>
    </w:p>
    <w:p>
      <w:pPr>
        <w:jc w:val="both"/>
        <w:ind w:right="180"/>
        <w:spacing w:after="0" w:line="274" w:lineRule="auto"/>
        <w:rPr>
          <w:sz w:val="20"/>
          <w:szCs w:val="20"/>
          <w:color w:val="auto"/>
        </w:rPr>
      </w:pPr>
      <w:r>
        <w:rPr>
          <w:rFonts w:ascii="Times New Roman" w:cs="Times New Roman" w:eastAsia="Times New Roman" w:hAnsi="Times New Roman"/>
          <w:sz w:val="18"/>
          <w:szCs w:val="18"/>
          <w:color w:val="auto"/>
        </w:rPr>
        <w:t>Due to the Company’s position in the supply chain, the Company does not have a direct relationship with smelters and refiners, nor does it perform direct audits of the smelters and refiners that provide its supply chain with the Conflict Minerals contained in the Company’s Covered Products. The Company relies upon industry efforts to influence smelters and refiners to undergo audits and become certified through the RMAP.</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OECD Guidance Step 5</w:t>
      </w:r>
      <w:r>
        <w:rPr>
          <w:rFonts w:ascii="Times New Roman" w:cs="Times New Roman" w:eastAsia="Times New Roman" w:hAnsi="Times New Roman"/>
          <w:sz w:val="18"/>
          <w:szCs w:val="18"/>
          <w:b w:val="1"/>
          <w:bCs w:val="1"/>
          <w:color w:val="auto"/>
        </w:rPr>
        <w:t>: Report annually on supply chain due diligence.</w:t>
      </w:r>
    </w:p>
    <w:p>
      <w:pPr>
        <w:spacing w:after="0" w:line="256" w:lineRule="exact"/>
        <w:rPr>
          <w:sz w:val="20"/>
          <w:szCs w:val="20"/>
          <w:color w:val="auto"/>
        </w:rPr>
      </w:pPr>
    </w:p>
    <w:p>
      <w:pPr>
        <w:jc w:val="both"/>
        <w:ind w:right="40"/>
        <w:spacing w:after="0" w:line="274" w:lineRule="auto"/>
        <w:rPr>
          <w:sz w:val="20"/>
          <w:szCs w:val="20"/>
          <w:color w:val="auto"/>
        </w:rPr>
      </w:pPr>
      <w:r>
        <w:rPr>
          <w:rFonts w:ascii="Times New Roman" w:cs="Times New Roman" w:eastAsia="Times New Roman" w:hAnsi="Times New Roman"/>
          <w:sz w:val="18"/>
          <w:szCs w:val="18"/>
          <w:color w:val="auto"/>
        </w:rPr>
        <w:t xml:space="preserve">The Company has filed with the Securities and Exchange Commission its specialized disclosure report on Form SD, which includes this Conflict Minerals Report as Exhibit 1.01, for the reporting period from January 1 to December 31, 2025. In accordance with OECD Guidance and the Rule, the Company has also made these disclosures available on its website at </w:t>
      </w:r>
      <w:r>
        <w:rPr>
          <w:rFonts w:ascii="Times New Roman" w:cs="Times New Roman" w:eastAsia="Times New Roman" w:hAnsi="Times New Roman"/>
          <w:sz w:val="18"/>
          <w:szCs w:val="18"/>
          <w:u w:val="single" w:color="auto"/>
          <w:color w:val="auto"/>
        </w:rPr>
        <w:t>https://investors.allot.com/financial-information/sec-filings</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 THE COMPANY’S DUE DILIGENCE FINDINGS AND CONCLUSIONS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Inherent Limitations on Due Diligence Measures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As a downstream purchaser of products which contain Conflict Minerals, our due diligence measures can provide only reasonable, not absolute, assurance regarding the source and chain of custody of the necessary Conflict Minerals. Our due diligence processes are based on the necessity of seeking data from our direct suppliers and those suppliers seeking similar information within their supply chains to identify the original sources of the necessary Conflict Minerals. We also rely, to a large extent, on information collected and provided by responsible mineral sourcing validation programs. Such sources of information may yield inaccurate or incomplete information and may be subject to fraud.</w:t>
      </w:r>
    </w:p>
    <w:p>
      <w:pPr>
        <w:spacing w:after="0" w:line="203"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8"/>
          <w:szCs w:val="18"/>
          <w:color w:val="auto"/>
        </w:rPr>
        <w:t>Another complicating factor is the unavailability of country of origin and chain of custody information from our suppliers on a continuous, real-time basis. The supply chain of commodities such as Conflict Minerals is a multi-step process operating more or less on a daily basis, with ores being delivered to smelters and refiners, with smelters and refiners smelting or refining ores into metal containing derivatives such as ingots, with the derivatives being shipped, sold and stored in numerous market locations around the world and with distributors and purchasers holding varying amounts of the derivatives in inventory for use. Since we do not have direct contractual relationships with smelters and refiners, we rely on our direct suppliers and the entire supply chain to determine the mine or location of origin of Conflict Minerals and to gather and provide specific information about the date when the ore is smelted into a derivative and later shipped, stored, sold and first entered the stream of commerce. We directly seek sourcing data on a periodic basis from our direct suppliers as well as certain smelters and refiners</w:t>
      </w:r>
    </w:p>
    <w:p>
      <w:pPr>
        <w:spacing w:after="0" w:line="210"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We ask that the data cover the entire reporting year, and we seek to use contract provisions requiring the suppliers to promptly update us in the event that the sourcing data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Country of Origin of the Conflict Minerals in the Covered Products</w:t>
      </w:r>
    </w:p>
    <w:p>
      <w:pPr>
        <w:spacing w:after="0" w:line="24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Based on the information obtained by the Company during the due diligence process, the Company does not have sufficient information, with respect to the Covered Products, to determine the country of origin of all of the Conflict Minerals contained in the Covered Products or to determine whether the Covered Products directly or indirectly finance or benefit armed groups in the Covered Countries. However, based on the information that has been obtained, to the extent reasonably determinable by the Company, with respect to the smelters and refineries identified by the Company, such countries of origin are believed to include, to the extent known, the following countries: Andorra, Australia, Austria, Belgium, Bolivia, Brazil, Canada, Chile, China, Colombia, Democratic Republic of the Congo, Czechia, Estonia, France, Germany, India, Indonesia, Italy, Japan, Kazakhstan, Lao People's Democratic Republic, Malaysia, Mexico, Myanmar, Netherlands, Peru, Philippines, Poland, Republic of Korea, Rwanda, Singapore, South Africa, Spain, Sweden, Switzerland, Taiwan, Thailand, Turkey, Uganda, United Republic of Tanzania, United States of America, Uzbekistan, and Vietnam.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 Used to Process the Conflict Minerals in the Covered Products</w:t>
      </w:r>
    </w:p>
    <w:p>
      <w:pPr>
        <w:spacing w:after="0" w:line="25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Following the process outlined above, the Company received responses from approximately 100% of the surveyed suppliers. Therefore, the Company was unable to conclusively determine the origin of all the Conflict Minerals contained in the Covered Products.</w:t>
      </w:r>
    </w:p>
    <w:p>
      <w:pPr>
        <w:spacing w:after="0" w:line="18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However, based on the information that was provided by the Company’s suppliers and otherwise obtained through the due diligence process, the Company believes that, to the extent reasonably determinable by the Company, the facilities that were used to process the Conflict Minerals contained in the Covered Products during the covered period included the smelters and refineries listed on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Report. The smelters and refiners that the Company has been able to determine as RMAP “conformant” are identified by an asterisk in Appendix A. The smelters and refiners which are in “active” RMAP status are identified by two asterisks. The smelters and refiners identified in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Report were identified by our suppliers and the Company cannot be certain that these smelters and refiners were in fact in the Company’s supply chain during the period covered by this Report.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IV. IMPLEMENTATION OF STRATEGIES TO RESPOND TO IDENTIFIED RISKS AND FUTURE STEPS</w:t>
      </w:r>
    </w:p>
    <w:p>
      <w:pPr>
        <w:spacing w:after="0" w:line="243" w:lineRule="exact"/>
        <w:rPr>
          <w:sz w:val="20"/>
          <w:szCs w:val="20"/>
          <w:color w:val="auto"/>
        </w:rPr>
      </w:pPr>
    </w:p>
    <w:p>
      <w:pPr>
        <w:ind w:right="120"/>
        <w:spacing w:after="0" w:line="263" w:lineRule="auto"/>
        <w:rPr>
          <w:sz w:val="20"/>
          <w:szCs w:val="20"/>
          <w:color w:val="auto"/>
        </w:rPr>
      </w:pPr>
      <w:r>
        <w:rPr>
          <w:rFonts w:ascii="Times New Roman" w:cs="Times New Roman" w:eastAsia="Times New Roman" w:hAnsi="Times New Roman"/>
          <w:sz w:val="18"/>
          <w:szCs w:val="18"/>
          <w:color w:val="auto"/>
        </w:rPr>
        <w:t>We have taken, and intend to continue to take, steps to improve our due diligence processes and to minimize the risk that our necessary Conflict Minerals benefit armed groups. Going forward, the Company plans to continue to engage with its manufacturers and suppliers to obtain current, accurate and complete information about its supply chains and will continue to improve its due diligence efforts to ensure responsible sourcing in compliance with the Policy. The Company further intends to collaborate with key stakeholders to identify relevant risks and improve systems of raising grievances related to conditions in and around mining. The Company also intends to continue its engagement with industry programs, stakeholders and groups to encourage the further development, adoption, improvement and reliability of relevant programs, tools and standards. The Company intends to continue monitoring the performance and efficiency of its due diligence efforts and to maintain its risk management plan, which includes due diligence reviews of suppliers, smelters and refiners sourcing from the Covered Countries and procedures designed to account for any new risks in the risk management plan. The Company also plans to continue to encourage its suppliers to adopt best practices for the responsible sourcing of materials and use conflict-free or otherwise RMAP “conformant” smelters and refiners as capacity becomes available. As it has done in the past, the Company may also elect to contact or follow up with smelter and refinery facilities that have not received a “conflict-free” or otherwise RMAP “conformant” designation from an independent third-party audit program, such as the RMAP, to encourage their participation in such a program, request country of origin and chain of custody information, and encourage their participation in an independent third-party audit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256540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7"/>
        </w:trPr>
        <w:tc>
          <w:tcPr>
            <w:tcW w:w="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6640" w:type="dxa"/>
            <w:vAlign w:val="bottom"/>
            <w:gridSpan w:val="3"/>
            <w:vMerge w:val="restart"/>
          </w:tcPr>
          <w:p>
            <w:pPr>
              <w:ind w:left="1800"/>
              <w:spacing w:after="0"/>
              <w:rPr>
                <w:sz w:val="20"/>
                <w:szCs w:val="20"/>
                <w:color w:val="auto"/>
              </w:rPr>
            </w:pPr>
            <w:r>
              <w:rPr>
                <w:rFonts w:ascii="Times New Roman" w:cs="Times New Roman" w:eastAsia="Times New Roman" w:hAnsi="Times New Roman"/>
                <w:sz w:val="18"/>
                <w:szCs w:val="18"/>
                <w:b w:val="1"/>
                <w:bCs w:val="1"/>
                <w:color w:val="auto"/>
              </w:rPr>
              <w:t>CURRENTLY KNOWN SMELTER AND REFINERY LIST</w:t>
            </w:r>
          </w:p>
        </w:tc>
        <w:tc>
          <w:tcPr>
            <w:tcW w:w="3100" w:type="dxa"/>
            <w:vAlign w:val="bottom"/>
            <w:gridSpan w:val="2"/>
          </w:tcPr>
          <w:p>
            <w:pPr>
              <w:ind w:left="2180"/>
              <w:spacing w:after="0"/>
              <w:rPr>
                <w:sz w:val="20"/>
                <w:szCs w:val="20"/>
                <w:color w:val="auto"/>
              </w:rPr>
            </w:pPr>
            <w:r>
              <w:rPr>
                <w:rFonts w:ascii="Times New Roman" w:cs="Times New Roman" w:eastAsia="Times New Roman" w:hAnsi="Times New Roman"/>
                <w:sz w:val="18"/>
                <w:szCs w:val="18"/>
                <w:b w:val="1"/>
                <w:bCs w:val="1"/>
                <w:color w:val="auto"/>
                <w:w w:val="95"/>
              </w:rPr>
              <w:t>Appendix A</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640" w:type="dxa"/>
            <w:vAlign w:val="bottom"/>
            <w:gridSpan w:val="3"/>
            <w:vMerge w:val="continue"/>
          </w:tcPr>
          <w:p>
            <w:pPr>
              <w:spacing w:after="0"/>
              <w:rPr>
                <w:sz w:val="18"/>
                <w:szCs w:val="18"/>
                <w:color w:val="auto"/>
              </w:rPr>
            </w:pPr>
          </w:p>
        </w:tc>
        <w:tc>
          <w:tcPr>
            <w:tcW w:w="218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spacing w:after="0"/>
              <w:rPr>
                <w:sz w:val="22"/>
                <w:szCs w:val="22"/>
                <w:color w:val="auto"/>
              </w:rPr>
            </w:pPr>
          </w:p>
        </w:tc>
        <w:tc>
          <w:tcPr>
            <w:tcW w:w="4660" w:type="dxa"/>
            <w:vAlign w:val="bottom"/>
            <w:tcBorders>
              <w:top w:val="single" w:sz="8" w:color="auto"/>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tcPr>
          <w:p>
            <w:pPr>
              <w:spacing w:after="0"/>
              <w:rPr>
                <w:sz w:val="22"/>
                <w:szCs w:val="22"/>
                <w:color w:val="auto"/>
              </w:rPr>
            </w:pPr>
          </w:p>
        </w:tc>
        <w:tc>
          <w:tcPr>
            <w:tcW w:w="1460" w:type="dxa"/>
            <w:vAlign w:val="bottom"/>
            <w:tcBorders>
              <w:right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1800" w:type="dxa"/>
            <w:vAlign w:val="bottom"/>
          </w:tcPr>
          <w:p>
            <w:pPr>
              <w:spacing w:after="0"/>
              <w:rPr>
                <w:sz w:val="22"/>
                <w:szCs w:val="22"/>
                <w:color w:val="auto"/>
              </w:rPr>
            </w:pPr>
          </w:p>
        </w:tc>
        <w:tc>
          <w:tcPr>
            <w:tcW w:w="4840" w:type="dxa"/>
            <w:vAlign w:val="bottom"/>
            <w:tcBorders>
              <w:right w:val="single" w:sz="8" w:color="auto"/>
            </w:tcBorders>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100" w:type="dxa"/>
            <w:vAlign w:val="bottom"/>
            <w:tcBorders>
              <w:right w:val="single" w:sz="8" w:color="auto"/>
            </w:tcBorders>
            <w:gridSpan w:val="2"/>
          </w:tcPr>
          <w:p>
            <w:pPr>
              <w:ind w:left="900"/>
              <w:spacing w:after="0"/>
              <w:rPr>
                <w:sz w:val="20"/>
                <w:szCs w:val="20"/>
                <w:color w:val="auto"/>
              </w:rPr>
            </w:pPr>
            <w:r>
              <w:rPr>
                <w:rFonts w:ascii="Times New Roman" w:cs="Times New Roman" w:eastAsia="Times New Roman" w:hAnsi="Times New Roman"/>
                <w:sz w:val="18"/>
                <w:szCs w:val="18"/>
                <w:b w:val="1"/>
                <w:bCs w:val="1"/>
                <w:color w:val="auto"/>
              </w:rPr>
              <w:t>Smelter Country</w:t>
            </w:r>
          </w:p>
        </w:tc>
        <w:tc>
          <w:tcPr>
            <w:tcW w:w="0" w:type="dxa"/>
            <w:vAlign w:val="bottom"/>
          </w:tcPr>
          <w:p>
            <w:pPr>
              <w:spacing w:after="0"/>
              <w:rPr>
                <w:sz w:val="1"/>
                <w:szCs w:val="1"/>
                <w:color w:val="auto"/>
              </w:rPr>
            </w:pPr>
          </w:p>
        </w:tc>
      </w:tr>
      <w:tr>
        <w:trPr>
          <w:trHeight w:val="61"/>
        </w:trPr>
        <w:tc>
          <w:tcPr>
            <w:tcW w:w="40" w:type="dxa"/>
            <w:vAlign w:val="bottom"/>
            <w:tcBorders>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Agosi AG*</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AGR (Perth Mint Australia)*</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Uzbekistan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Argor-Heraeus S.A.*</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Switzerland</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ASAHI METALFINE, Inc.*</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Asahi Pretec Corp.*</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Asahi Refining USA Inc.*</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Asaka Riken Co., Ltd.*</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Aurubis AG*</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Bangalore Refinery*</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India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Philippines</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Boliden AB*</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Boliden Ronnskar*</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Sweden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 Hafner GmbH + Co. KG*</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Chimet S.p.A.*</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Italy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Chugai Mining*</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Coimpa Industrial LTDA*</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Brazil</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Dowa*</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DSC (Do Sung Corporation)*</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Japan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Elite Industech Co., Ltd.*</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Taiwan</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GG Refinery Ltd.*</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United Republic of Tanzania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 by Gold Colombia*</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Colombia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Heimerle + Meule GmbH*</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Germany</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China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3100" w:type="dxa"/>
            <w:vAlign w:val="bottom"/>
            <w:tcBorders>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auto"/>
              </w:rPr>
              <w:t>South Africa</w:t>
            </w:r>
          </w:p>
        </w:tc>
        <w:tc>
          <w:tcPr>
            <w:tcW w:w="0" w:type="dxa"/>
            <w:vAlign w:val="bottom"/>
          </w:tcPr>
          <w:p>
            <w:pPr>
              <w:spacing w:after="0"/>
              <w:rPr>
                <w:sz w:val="1"/>
                <w:szCs w:val="1"/>
                <w:color w:val="auto"/>
              </w:rPr>
            </w:pP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tcBorders>
          </w:tcPr>
          <w:p>
            <w:pPr>
              <w:spacing w:after="0"/>
              <w:rPr>
                <w:sz w:val="5"/>
                <w:szCs w:val="5"/>
                <w:color w:val="auto"/>
              </w:rPr>
            </w:pPr>
          </w:p>
        </w:tc>
        <w:tc>
          <w:tcPr>
            <w:tcW w:w="4660" w:type="dxa"/>
            <w:vAlign w:val="bottom"/>
            <w:tcBorders>
              <w:bottom w:val="single" w:sz="8" w:color="auto"/>
            </w:tcBorders>
          </w:tcPr>
          <w:p>
            <w:pPr>
              <w:spacing w:after="0"/>
              <w:rPr>
                <w:sz w:val="5"/>
                <w:szCs w:val="5"/>
                <w:color w:val="auto"/>
              </w:rPr>
            </w:pPr>
          </w:p>
        </w:tc>
        <w:tc>
          <w:tcPr>
            <w:tcW w:w="180" w:type="dxa"/>
            <w:vAlign w:val="bottom"/>
            <w:tcBorders>
              <w:bottom w:val="single" w:sz="8" w:color="auto"/>
              <w:right w:val="single" w:sz="8" w:color="auto"/>
            </w:tcBorders>
          </w:tcPr>
          <w:p>
            <w:pPr>
              <w:spacing w:after="0"/>
              <w:rPr>
                <w:sz w:val="5"/>
                <w:szCs w:val="5"/>
                <w:color w:val="auto"/>
              </w:rPr>
            </w:pPr>
          </w:p>
        </w:tc>
        <w:tc>
          <w:tcPr>
            <w:tcW w:w="2180" w:type="dxa"/>
            <w:vAlign w:val="bottom"/>
            <w:tcBorders>
              <w:bottom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99"/>
        </w:trPr>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6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3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r>
      <w:tr>
        <w:trPr>
          <w:trHeight w:val="61"/>
        </w:trPr>
        <w:tc>
          <w:tcPr>
            <w:tcW w:w="40" w:type="dxa"/>
            <w:vAlign w:val="bottom"/>
            <w:tcBorders>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Istanbul Gold Refinery*</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Turkey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Italpreziosi*</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 Mint*</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Copper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JX Advanced Metals Corporation*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Kazzinc*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Kojima Chemicals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Korea Zinc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L'Orfebre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Andorra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LS MnM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LS-NIKKO Copper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LT Metal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Materion*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Matsuda Sangyo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Singapore</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Technologies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Mexico</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 Titán del Perú SRL (MTP) - Belen Plant**</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Peru</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MKS PAMP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MMTC-PAMP India Pvt.,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Turkey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Uzbekistan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NH Recytech Company*</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Nihon Material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NOBLE METAL SERVICES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PAMP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Chile</w:t>
            </w:r>
          </w:p>
        </w:tc>
      </w:tr>
      <w:tr>
        <w:trPr>
          <w:trHeight w:val="61"/>
        </w:trPr>
        <w:tc>
          <w:tcPr>
            <w:tcW w:w="40" w:type="dxa"/>
            <w:vAlign w:val="bottom"/>
            <w:tcBorders>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PX Precinox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Rand Refinery (Pty)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South Africa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REMONDIS PMR B.V.*</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Netherlands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Royal Canadian Mint*</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Canada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SAFINA A.S.*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Czechia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SungEel HiMetal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T.C.A S.p.A*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Italy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Tokuriki Honten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TOO Tau-Ken-Altyn*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Torecom</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Republic of Korea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Valcambi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Switzerland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WEEEREFINING</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France</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WIELAND Edelmetalle GmbH*</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Yamakin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Yokohama Metal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Gold</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AMG Brasil*</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 Block Metals, LLC*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3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Tanbre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KEMET de Mexico*</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Mexico</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Materion Newton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Mineracao Taboca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NPM Silmet AS*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Estonia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PowerX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Rwanda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QuantumClean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Taki Chemical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GmbH*</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Japan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Telex Metals*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Kazakhstan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Tantalum</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Alpha Metals*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Alpha*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Aurubis Beerse*</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Aurubis Berango*</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Chenzhou Yun Xiang mining limited liability company*</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 Tin Group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 Ltda**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CRM Synergies*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Spain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CV Ayi Jaya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CV Venus Inti Perkasa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Dowa*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399"/>
        </w:trPr>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DS Myanmar</w:t>
            </w:r>
          </w:p>
        </w:tc>
        <w:tc>
          <w:tcPr>
            <w:tcW w:w="3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Myanmar</w:t>
            </w:r>
          </w:p>
        </w:tc>
      </w:tr>
      <w:tr>
        <w:trPr>
          <w:trHeight w:val="61"/>
        </w:trPr>
        <w:tc>
          <w:tcPr>
            <w:tcW w:w="40" w:type="dxa"/>
            <w:vAlign w:val="bottom"/>
            <w:tcBorders>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EM Vinto*</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Bolivia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Estanho de Rondonia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Estanho de Rondônia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Fenix Metals*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Australia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Luna Smelter,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Rwanda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Melt Metais e Ligas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Metallic Resources,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Mineracao Taboca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Democratic Republic of the Congo</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Minsur*</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Peru</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 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Bolivia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Arsed Indonesia*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Artha Cipta Langgeng</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Babel Inti Perkasa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Bangka Prima Tin*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Bangka Serumpun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Bukit Timah</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Cipta Persada Mulia*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Masbro Alam Stania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Menara Cipta Mulia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PT Mitra Stania Prima*</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3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right w:val="single" w:sz="8" w:color="auto"/>
            </w:tcBorders>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Prima Timah Utama*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Rajehan Ariq*</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Refined Bangka Tin</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Stanindo Inti Perkasa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Nusantara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Kundur*</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Timah Tbk Mentok*</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Tinindo Inter Nusa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PT Tommy Utama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Rui Da Hung*</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Soft Metais Ltda.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Super Ligas*</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99"/>
              </w:rPr>
              <w:t>Takehara PVD Materials Plant / PVD Materials Division of MITSUI MINING &amp; SMELTING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Thaisarco*</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Thailand</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Uganda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Tin Company,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Tin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A.L.M.T. Corp.*</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Cronimet Brasil Ltda*</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Corp.*</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0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77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3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040" w:type="dxa"/>
            <w:vAlign w:val="bottom"/>
            <w:tcBorders>
              <w:bottom w:val="single" w:sz="8" w:color="auto"/>
              <w:right w:val="single" w:sz="8" w:color="auto"/>
            </w:tcBorders>
          </w:tcPr>
          <w:p>
            <w:pPr>
              <w:spacing w:after="0"/>
              <w:rPr>
                <w:sz w:val="5"/>
                <w:szCs w:val="5"/>
                <w:color w:val="auto"/>
              </w:rPr>
            </w:pPr>
          </w:p>
        </w:tc>
        <w:tc>
          <w:tcPr>
            <w:tcW w:w="7780" w:type="dxa"/>
            <w:vAlign w:val="bottom"/>
            <w:tcBorders>
              <w:bottom w:val="single" w:sz="8" w:color="auto"/>
              <w:right w:val="single" w:sz="8" w:color="auto"/>
            </w:tcBorders>
          </w:tcPr>
          <w:p>
            <w:pPr>
              <w:spacing w:after="0"/>
              <w:rPr>
                <w:sz w:val="5"/>
                <w:szCs w:val="5"/>
                <w:color w:val="auto"/>
              </w:rPr>
            </w:pPr>
          </w:p>
        </w:tc>
        <w:tc>
          <w:tcPr>
            <w:tcW w:w="2380" w:type="dxa"/>
            <w:vAlign w:val="bottom"/>
            <w:tcBorders>
              <w:bottom w:val="single" w:sz="8" w:color="auto"/>
              <w:right w:val="single" w:sz="8" w:color="auto"/>
            </w:tcBorders>
          </w:tcPr>
          <w:p>
            <w:pPr>
              <w:spacing w:after="0"/>
              <w:rPr>
                <w:sz w:val="5"/>
                <w:szCs w:val="5"/>
                <w:color w:val="auto"/>
              </w:rPr>
            </w:pPr>
          </w:p>
        </w:tc>
      </w:tr>
      <w:tr>
        <w:trPr>
          <w:trHeight w:val="398"/>
        </w:trPr>
        <w:tc>
          <w:tcPr>
            <w:tcW w:w="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20"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40" w:type="dxa"/>
            <w:vAlign w:val="bottom"/>
            <w:tcBorders>
              <w:right w:val="single" w:sz="8" w:color="auto"/>
            </w:tcBorders>
          </w:tcPr>
          <w:p>
            <w:pPr>
              <w:spacing w:after="0"/>
              <w:rPr>
                <w:sz w:val="24"/>
                <w:szCs w:val="24"/>
                <w:color w:val="auto"/>
              </w:rPr>
            </w:pPr>
          </w:p>
        </w:tc>
        <w:tc>
          <w:tcPr>
            <w:tcW w:w="146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H.C. Starck Tungsten GmbH*</w:t>
            </w:r>
          </w:p>
        </w:tc>
        <w:tc>
          <w:tcPr>
            <w:tcW w:w="310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 Branch</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 New Metals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KENEE MINING VIETNAM COMPANY LIMITED*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Kennametal Fallon*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Kennametal Huntsville*</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Lao People's Democratic Republic</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Lianyou Metals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Taiwan</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Masan High-Tech Materials*</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Niagara Refining LLC*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S.P.T. spol.s r.o.*</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Czechia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6"/>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Smelter not listed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Austria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257"/>
        </w:trPr>
        <w:tc>
          <w:tcPr>
            <w:tcW w:w="40" w:type="dxa"/>
            <w:vAlign w:val="bottom"/>
            <w:tcBorders>
              <w:right w:val="single" w:sz="8" w:color="auto"/>
            </w:tcBorders>
            <w:shd w:val="clear" w:color="auto" w:fill="000000"/>
          </w:tcPr>
          <w:p>
            <w:pPr>
              <w:spacing w:after="0"/>
              <w:rPr>
                <w:sz w:val="22"/>
                <w:szCs w:val="22"/>
                <w:color w:val="auto"/>
              </w:rPr>
            </w:pPr>
          </w:p>
        </w:tc>
        <w:tc>
          <w:tcPr>
            <w:tcW w:w="146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Tungsten</w:t>
            </w:r>
          </w:p>
        </w:tc>
        <w:tc>
          <w:tcPr>
            <w:tcW w:w="664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Xiamen Tungsten Co., Ltd.*</w:t>
            </w:r>
          </w:p>
        </w:tc>
        <w:tc>
          <w:tcPr>
            <w:tcW w:w="31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61"/>
        </w:trPr>
        <w:tc>
          <w:tcPr>
            <w:tcW w:w="40" w:type="dxa"/>
            <w:vAlign w:val="bottom"/>
            <w:tcBorders>
              <w:bottom w:val="single" w:sz="8" w:color="auto"/>
              <w:right w:val="single" w:sz="8" w:color="auto"/>
            </w:tcBorders>
            <w:shd w:val="clear" w:color="auto" w:fill="000000"/>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6640" w:type="dxa"/>
            <w:vAlign w:val="bottom"/>
            <w:tcBorders>
              <w:bottom w:val="single" w:sz="8" w:color="auto"/>
              <w:right w:val="single" w:sz="8" w:color="auto"/>
            </w:tcBorders>
          </w:tcPr>
          <w:p>
            <w:pPr>
              <w:spacing w:after="0"/>
              <w:rPr>
                <w:sz w:val="5"/>
                <w:szCs w:val="5"/>
                <w:color w:val="auto"/>
              </w:rPr>
            </w:pPr>
          </w:p>
        </w:tc>
        <w:tc>
          <w:tcPr>
            <w:tcW w:w="3100" w:type="dxa"/>
            <w:vAlign w:val="bottom"/>
            <w:tcBorders>
              <w:bottom w:val="single" w:sz="8" w:color="auto"/>
              <w:right w:val="single" w:sz="8" w:color="auto"/>
            </w:tcBorders>
          </w:tcPr>
          <w:p>
            <w:pPr>
              <w:spacing w:after="0"/>
              <w:rPr>
                <w:sz w:val="5"/>
                <w:szCs w:val="5"/>
                <w:color w:val="auto"/>
              </w:rPr>
            </w:pPr>
          </w:p>
        </w:tc>
      </w:tr>
      <w:tr>
        <w:trPr>
          <w:trHeight w:val="310"/>
        </w:trPr>
        <w:tc>
          <w:tcPr>
            <w:tcW w:w="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r>
      <w:tr>
        <w:trPr>
          <w:trHeight w:val="163"/>
        </w:trPr>
        <w:tc>
          <w:tcPr>
            <w:tcW w:w="4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tcPr>
          <w:p>
            <w:pPr>
              <w:spacing w:after="0"/>
              <w:rPr>
                <w:sz w:val="14"/>
                <w:szCs w:val="14"/>
                <w:color w:val="auto"/>
              </w:rPr>
            </w:pPr>
          </w:p>
        </w:tc>
        <w:tc>
          <w:tcPr>
            <w:tcW w:w="664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r>
    </w:tbl>
    <w:p>
      <w:pPr>
        <w:spacing w:after="0" w:line="1" w:lineRule="exact"/>
        <w:rPr>
          <w:sz w:val="20"/>
          <w:szCs w:val="20"/>
          <w:color w:val="auto"/>
        </w:rPr>
      </w:pP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lvl w:ilvl="1">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
      <w:numFmt w:val="bullet"/>
      <w:start w:val="1"/>
    </w:lvl>
  </w:abstractNum>
  <w:abstractNum w:abstractNumId="9">
    <w:nsid w:val="216231B"/>
    <w:multiLevelType w:val="hybridMultilevel"/>
    <w:lvl w:ilvl="0">
      <w:lvlJc w:val="left"/>
      <w:lvlText w:val="-"/>
      <w:numFmt w:val="bullet"/>
      <w:start w:val="1"/>
    </w:lvl>
    <w:lvl w:ilvl="1">
      <w:lvlJc w:val="left"/>
      <w:lvlText w:val="•"/>
      <w:numFmt w:val="bullet"/>
      <w:start w:val="1"/>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2026-05-20T06:12:20Z</dcterms:created>
  <dcterms:modified xsi:type="dcterms:W3CDTF">2026-05-20T06:12:20Z</dcterms:modified>
</cp:coreProperties>
</file>